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DB" w:rsidRPr="00B75ADB" w:rsidRDefault="00800421" w:rsidP="00BF0D94">
      <w:pPr>
        <w:spacing w:line="276" w:lineRule="auto"/>
        <w:jc w:val="center"/>
        <w:rPr>
          <w:rFonts w:ascii="Calibri" w:hAnsi="Calibri" w:cs="Calibri"/>
          <w:b/>
        </w:rPr>
      </w:pPr>
      <w:r w:rsidRPr="00B75ADB">
        <w:rPr>
          <w:rFonts w:ascii="Calibri" w:hAnsi="Calibri" w:cs="Calibri"/>
          <w:b/>
        </w:rPr>
        <w:t xml:space="preserve">SMĚRNICE Č. </w:t>
      </w:r>
      <w:r w:rsidR="00C54972">
        <w:rPr>
          <w:rFonts w:ascii="Calibri" w:hAnsi="Calibri" w:cs="Calibri"/>
          <w:b/>
        </w:rPr>
        <w:t>1/2018</w:t>
      </w:r>
      <w:r w:rsidRPr="00B75ADB">
        <w:rPr>
          <w:rFonts w:ascii="Calibri" w:hAnsi="Calibri" w:cs="Calibri"/>
          <w:b/>
        </w:rPr>
        <w:t>, O OCHRANĚ OSOBNÍCH ÚDAJŮ</w:t>
      </w:r>
    </w:p>
    <w:p w:rsidR="00B75ADB" w:rsidRPr="00B75ADB" w:rsidRDefault="00B75ADB" w:rsidP="00BF0D94">
      <w:pPr>
        <w:spacing w:line="276" w:lineRule="auto"/>
        <w:rPr>
          <w:rFonts w:ascii="Calibri" w:hAnsi="Calibri" w:cs="Calibri"/>
        </w:rPr>
      </w:pPr>
    </w:p>
    <w:p w:rsidR="00B75ADB" w:rsidRDefault="002E61D3" w:rsidP="00BF0D94">
      <w:pPr>
        <w:spacing w:line="276" w:lineRule="auto"/>
        <w:rPr>
          <w:rFonts w:ascii="Calibri" w:hAnsi="Calibri" w:cs="Calibri"/>
          <w:b/>
        </w:rPr>
      </w:pPr>
      <w:r w:rsidRPr="002E61D3">
        <w:rPr>
          <w:rFonts w:ascii="Calibri" w:hAnsi="Calibri" w:cs="Calibri"/>
          <w:b/>
        </w:rPr>
        <w:t>ORGANIZACE</w:t>
      </w:r>
    </w:p>
    <w:p w:rsidR="00176135" w:rsidRPr="00176135" w:rsidRDefault="00176135" w:rsidP="00176135">
      <w:pPr>
        <w:pStyle w:val="Default"/>
        <w:ind w:left="708" w:firstLine="708"/>
        <w:rPr>
          <w:rFonts w:asciiTheme="minorHAnsi" w:hAnsiTheme="minorHAnsi" w:cstheme="minorHAnsi"/>
        </w:rPr>
      </w:pPr>
      <w:r w:rsidRPr="00176135">
        <w:rPr>
          <w:rFonts w:asciiTheme="minorHAnsi" w:hAnsiTheme="minorHAnsi" w:cstheme="minorHAnsi"/>
        </w:rPr>
        <w:t xml:space="preserve">Obec </w:t>
      </w:r>
      <w:proofErr w:type="spellStart"/>
      <w:r w:rsidRPr="00176135">
        <w:rPr>
          <w:rFonts w:asciiTheme="minorHAnsi" w:hAnsiTheme="minorHAnsi" w:cstheme="minorHAnsi"/>
        </w:rPr>
        <w:t>Menhartice</w:t>
      </w:r>
      <w:proofErr w:type="spellEnd"/>
      <w:r w:rsidRPr="00176135">
        <w:rPr>
          <w:rFonts w:asciiTheme="minorHAnsi" w:hAnsiTheme="minorHAnsi" w:cstheme="minorHAnsi"/>
        </w:rPr>
        <w:t xml:space="preserve"> </w:t>
      </w:r>
    </w:p>
    <w:p w:rsidR="00176135" w:rsidRPr="00176135" w:rsidRDefault="00176135" w:rsidP="00176135">
      <w:pPr>
        <w:pStyle w:val="Default"/>
        <w:ind w:left="708" w:firstLine="708"/>
        <w:rPr>
          <w:rFonts w:asciiTheme="minorHAnsi" w:hAnsiTheme="minorHAnsi" w:cstheme="minorHAnsi"/>
        </w:rPr>
      </w:pPr>
      <w:proofErr w:type="spellStart"/>
      <w:r w:rsidRPr="00176135">
        <w:rPr>
          <w:rFonts w:asciiTheme="minorHAnsi" w:hAnsiTheme="minorHAnsi" w:cstheme="minorHAnsi"/>
        </w:rPr>
        <w:t>Menhartice</w:t>
      </w:r>
      <w:proofErr w:type="spellEnd"/>
      <w:r w:rsidRPr="00176135">
        <w:rPr>
          <w:rFonts w:asciiTheme="minorHAnsi" w:hAnsiTheme="minorHAnsi" w:cstheme="minorHAnsi"/>
        </w:rPr>
        <w:t xml:space="preserve"> 23 </w:t>
      </w:r>
    </w:p>
    <w:p w:rsidR="00176135" w:rsidRPr="00176135" w:rsidRDefault="00176135" w:rsidP="00176135">
      <w:pPr>
        <w:ind w:left="708" w:firstLine="708"/>
        <w:rPr>
          <w:rFonts w:asciiTheme="minorHAnsi" w:hAnsiTheme="minorHAnsi" w:cstheme="minorHAnsi"/>
          <w:color w:val="000000"/>
          <w:shd w:val="clear" w:color="auto" w:fill="FFFFFF"/>
        </w:rPr>
      </w:pPr>
      <w:r w:rsidRPr="00176135">
        <w:rPr>
          <w:rFonts w:asciiTheme="minorHAnsi" w:hAnsiTheme="minorHAnsi" w:cstheme="minorHAnsi"/>
        </w:rPr>
        <w:t>675 31 Jemnice</w:t>
      </w:r>
    </w:p>
    <w:p w:rsidR="005668AA" w:rsidRDefault="005668AA" w:rsidP="005668AA">
      <w:pPr>
        <w:spacing w:line="276" w:lineRule="auto"/>
        <w:jc w:val="both"/>
        <w:rPr>
          <w:rFonts w:ascii="Calibri" w:hAnsi="Calibri" w:cs="Calibri"/>
          <w:b/>
        </w:rPr>
      </w:pPr>
    </w:p>
    <w:p w:rsidR="005668AA" w:rsidRPr="0023271A" w:rsidRDefault="005668AA" w:rsidP="0023271A">
      <w:pPr>
        <w:numPr>
          <w:ilvl w:val="0"/>
          <w:numId w:val="3"/>
        </w:numPr>
        <w:spacing w:line="276" w:lineRule="auto"/>
        <w:ind w:left="709" w:hanging="709"/>
        <w:jc w:val="both"/>
        <w:rPr>
          <w:rFonts w:ascii="Calibri" w:hAnsi="Calibri" w:cs="Calibri"/>
          <w:b/>
        </w:rPr>
      </w:pPr>
      <w:r w:rsidRPr="00B75ADB">
        <w:rPr>
          <w:rFonts w:ascii="Calibri" w:hAnsi="Calibri" w:cs="Calibri"/>
          <w:b/>
        </w:rPr>
        <w:t>ÚČEL</w:t>
      </w:r>
      <w:r>
        <w:rPr>
          <w:rFonts w:ascii="Calibri" w:hAnsi="Calibri" w:cs="Calibri"/>
          <w:b/>
        </w:rPr>
        <w:t xml:space="preserve"> SMĚRNICE</w:t>
      </w:r>
    </w:p>
    <w:p w:rsidR="005668AA" w:rsidRPr="00B75ADB"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 xml:space="preserve">Účelem této směrnice je stanovit základní pravidla zpracování osobních údajů ve Společnosti. </w:t>
      </w:r>
    </w:p>
    <w:p w:rsidR="005668AA" w:rsidRPr="00B75ADB"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Tato směrnice je jedním z organizačních opatření ochrany osobních údajů ve smyslu článku 32 GDPR.</w:t>
      </w:r>
    </w:p>
    <w:p w:rsidR="005668AA" w:rsidRDefault="005668AA" w:rsidP="005668AA">
      <w:pPr>
        <w:numPr>
          <w:ilvl w:val="1"/>
          <w:numId w:val="3"/>
        </w:numPr>
        <w:spacing w:line="276" w:lineRule="auto"/>
        <w:ind w:left="709" w:hanging="709"/>
        <w:jc w:val="both"/>
        <w:rPr>
          <w:rFonts w:ascii="Calibri" w:hAnsi="Calibri" w:cs="Calibri"/>
        </w:rPr>
      </w:pPr>
      <w:r w:rsidRPr="00B75ADB">
        <w:rPr>
          <w:rFonts w:ascii="Calibri" w:hAnsi="Calibri" w:cs="Calibri"/>
        </w:rPr>
        <w:t>Tato směrnice dále upravuje procesy realizace práva subjektu údajů na přístup k osobním údajům ve smyslu článku 15 GDPR a ohlašování případů porušení zabezpečení osobních údaj</w:t>
      </w:r>
      <w:r>
        <w:rPr>
          <w:rFonts w:ascii="Calibri" w:hAnsi="Calibri" w:cs="Calibri"/>
        </w:rPr>
        <w:t>ů ve smyslu článku 33 a 34 GDPR.</w:t>
      </w:r>
    </w:p>
    <w:p w:rsidR="005668AA" w:rsidRPr="005668AA" w:rsidRDefault="005668AA" w:rsidP="005668AA">
      <w:pPr>
        <w:numPr>
          <w:ilvl w:val="1"/>
          <w:numId w:val="3"/>
        </w:numPr>
        <w:spacing w:line="276" w:lineRule="auto"/>
        <w:ind w:left="709" w:hanging="709"/>
        <w:jc w:val="both"/>
        <w:rPr>
          <w:rFonts w:ascii="Calibri" w:hAnsi="Calibri" w:cs="Calibri"/>
        </w:rPr>
      </w:pPr>
      <w:r>
        <w:rPr>
          <w:rFonts w:ascii="Calibri" w:hAnsi="Calibri" w:cs="Calibri"/>
        </w:rPr>
        <w:t>Účelem této S</w:t>
      </w:r>
      <w:r w:rsidRPr="005668AA">
        <w:rPr>
          <w:rFonts w:ascii="Calibri" w:hAnsi="Calibri" w:cs="Calibri"/>
        </w:rPr>
        <w:t>měrnice je</w:t>
      </w:r>
      <w:r>
        <w:rPr>
          <w:rFonts w:ascii="Calibri" w:hAnsi="Calibri" w:cs="Calibri"/>
        </w:rPr>
        <w:t xml:space="preserve"> zároveň</w:t>
      </w:r>
      <w:r w:rsidRPr="005668AA">
        <w:rPr>
          <w:rFonts w:ascii="Calibri" w:hAnsi="Calibri" w:cs="Calibri"/>
        </w:rPr>
        <w:t xml:space="preserve"> stanovit základní pravidla zpracování osobních údajů k ochraně osobních údajů a jejich zabezpečení a řešení porušení zabezpečení.</w:t>
      </w:r>
    </w:p>
    <w:p w:rsidR="005668AA" w:rsidRPr="00B75ADB" w:rsidRDefault="005668AA" w:rsidP="005668AA">
      <w:pPr>
        <w:spacing w:line="276" w:lineRule="auto"/>
        <w:ind w:left="709"/>
        <w:jc w:val="both"/>
        <w:rPr>
          <w:rFonts w:ascii="Calibri" w:hAnsi="Calibri" w:cs="Calibri"/>
        </w:rPr>
      </w:pPr>
    </w:p>
    <w:p w:rsidR="002E61D3" w:rsidRPr="0023271A" w:rsidRDefault="00800421" w:rsidP="0023271A">
      <w:pPr>
        <w:numPr>
          <w:ilvl w:val="0"/>
          <w:numId w:val="9"/>
        </w:numPr>
        <w:spacing w:line="276" w:lineRule="auto"/>
        <w:ind w:left="709" w:hanging="709"/>
        <w:jc w:val="both"/>
        <w:rPr>
          <w:rFonts w:ascii="Calibri" w:hAnsi="Calibri" w:cs="Calibri"/>
          <w:b/>
        </w:rPr>
      </w:pPr>
      <w:r w:rsidRPr="00B75ADB">
        <w:rPr>
          <w:rFonts w:ascii="Calibri" w:hAnsi="Calibri" w:cs="Calibri"/>
          <w:b/>
        </w:rPr>
        <w:t>DEFINICE</w:t>
      </w:r>
      <w:r w:rsidR="002E61D3">
        <w:rPr>
          <w:rFonts w:ascii="Calibri" w:hAnsi="Calibri" w:cs="Calibri"/>
          <w:b/>
        </w:rPr>
        <w:t xml:space="preserve"> VE SMĚRNICI UŽITÉ</w:t>
      </w:r>
    </w:p>
    <w:p w:rsidR="000E53E6"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0E53E6">
        <w:rPr>
          <w:rFonts w:ascii="Calibri" w:hAnsi="Calibri" w:cs="Calibri"/>
        </w:rPr>
        <w:t>DPO</w:t>
      </w:r>
      <w:r w:rsidR="000E53E6">
        <w:rPr>
          <w:rFonts w:ascii="Calibri" w:hAnsi="Calibri" w:cs="Calibri"/>
        </w:rPr>
        <w:t xml:space="preserve"> </w:t>
      </w:r>
      <w:r w:rsidR="000E53E6" w:rsidRPr="000E53E6">
        <w:rPr>
          <w:rFonts w:ascii="Calibri" w:hAnsi="Calibri" w:cs="Calibri"/>
        </w:rPr>
        <w:t xml:space="preserve">je </w:t>
      </w:r>
      <w:r>
        <w:rPr>
          <w:rFonts w:ascii="Calibri" w:hAnsi="Calibri" w:cs="Calibri"/>
        </w:rPr>
        <w:t xml:space="preserve">považován </w:t>
      </w:r>
      <w:r w:rsidR="000E53E6" w:rsidRPr="000E53E6">
        <w:rPr>
          <w:rFonts w:ascii="Calibri" w:hAnsi="Calibri" w:cs="Calibri"/>
        </w:rPr>
        <w:t xml:space="preserve">pověřenec pro ochranu osobních údajů (Data </w:t>
      </w:r>
      <w:proofErr w:type="spellStart"/>
      <w:r w:rsidR="000E53E6" w:rsidRPr="000E53E6">
        <w:rPr>
          <w:rFonts w:ascii="Calibri" w:hAnsi="Calibri" w:cs="Calibri"/>
        </w:rPr>
        <w:t>Protection</w:t>
      </w:r>
      <w:proofErr w:type="spellEnd"/>
      <w:r w:rsidR="000E53E6">
        <w:rPr>
          <w:rFonts w:ascii="Calibri" w:hAnsi="Calibri" w:cs="Calibri"/>
        </w:rPr>
        <w:t xml:space="preserve"> </w:t>
      </w:r>
      <w:proofErr w:type="spellStart"/>
      <w:r w:rsidR="000E53E6">
        <w:rPr>
          <w:rFonts w:ascii="Calibri" w:hAnsi="Calibri" w:cs="Calibri"/>
        </w:rPr>
        <w:t>Officer</w:t>
      </w:r>
      <w:proofErr w:type="spellEnd"/>
      <w:r w:rsidR="000E53E6">
        <w:rPr>
          <w:rFonts w:ascii="Calibri" w:hAnsi="Calibri" w:cs="Calibri"/>
        </w:rPr>
        <w:t>) ve smyslu čl. 37 GDPR</w:t>
      </w:r>
      <w:r>
        <w:rPr>
          <w:rFonts w:ascii="Calibri" w:hAnsi="Calibri" w:cs="Calibri"/>
        </w:rPr>
        <w:t>.</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Za Dozorový úřad je považován</w:t>
      </w:r>
      <w:r w:rsidR="000E53E6" w:rsidRPr="000E53E6">
        <w:rPr>
          <w:rFonts w:ascii="Calibri" w:hAnsi="Calibri" w:cs="Calibri"/>
        </w:rPr>
        <w:t xml:space="preserve"> </w:t>
      </w:r>
      <w:r>
        <w:rPr>
          <w:rFonts w:ascii="Calibri" w:hAnsi="Calibri" w:cs="Calibri"/>
        </w:rPr>
        <w:t>Úřad pro ochranu osobních údajů.</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G</w:t>
      </w:r>
      <w:r>
        <w:rPr>
          <w:rFonts w:ascii="Calibri" w:hAnsi="Calibri" w:cs="Calibri"/>
        </w:rPr>
        <w:t xml:space="preserve">DPR se považuje </w:t>
      </w:r>
      <w:r w:rsidR="000E53E6" w:rsidRPr="00BA144D">
        <w:rPr>
          <w:rFonts w:ascii="Calibri" w:hAnsi="Calibri" w:cs="Calibri"/>
        </w:rPr>
        <w:t>Nařízení Evropského parlamentu a Rady (EU) č. 2016/679 ze dne 27. dubna 2016 o ochraně fyzických osob v souvislosti se zpracováním osobních údajů a o volném pohybu těchto údajů a o zrušení směrnice 95/46/ES (obecné nař</w:t>
      </w:r>
      <w:r>
        <w:rPr>
          <w:rFonts w:ascii="Calibri" w:hAnsi="Calibri" w:cs="Calibri"/>
        </w:rPr>
        <w:t>ízení o ochraně osobních údajů).</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Osobní údaj se považuje </w:t>
      </w:r>
      <w:r w:rsidR="000E53E6" w:rsidRPr="00BA144D">
        <w:rPr>
          <w:rFonts w:ascii="Calibri" w:hAnsi="Calibri" w:cs="Calibri"/>
        </w:rPr>
        <w:t>jakákoliv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w:t>
      </w:r>
      <w:r>
        <w:rPr>
          <w:rFonts w:ascii="Calibri" w:hAnsi="Calibri" w:cs="Calibri"/>
        </w:rPr>
        <w:t>ské identity této fyzické osoby.</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Pracovník</w:t>
      </w:r>
      <w:r>
        <w:rPr>
          <w:rFonts w:ascii="Calibri" w:hAnsi="Calibri" w:cs="Calibri"/>
        </w:rPr>
        <w:t>a</w:t>
      </w:r>
      <w:r w:rsidR="000E53E6" w:rsidRPr="00BA144D">
        <w:rPr>
          <w:rFonts w:ascii="Calibri" w:hAnsi="Calibri" w:cs="Calibri"/>
        </w:rPr>
        <w:t xml:space="preserve"> </w:t>
      </w:r>
      <w:r>
        <w:rPr>
          <w:rFonts w:ascii="Calibri" w:hAnsi="Calibri" w:cs="Calibri"/>
        </w:rPr>
        <w:t>se považuje</w:t>
      </w:r>
      <w:r w:rsidR="000E53E6" w:rsidRPr="00BA144D">
        <w:rPr>
          <w:rFonts w:ascii="Calibri" w:hAnsi="Calibri" w:cs="Calibri"/>
        </w:rPr>
        <w:t xml:space="preserve"> každá osoba, včetně právnických osob, která pro </w:t>
      </w:r>
      <w:r w:rsidR="006918BA">
        <w:rPr>
          <w:rFonts w:ascii="Calibri" w:hAnsi="Calibri" w:cs="Calibri"/>
        </w:rPr>
        <w:t>Organizaci</w:t>
      </w:r>
      <w:r w:rsidR="000E53E6" w:rsidRPr="00BA144D">
        <w:rPr>
          <w:rFonts w:ascii="Calibri" w:hAnsi="Calibri" w:cs="Calibri"/>
        </w:rPr>
        <w:t xml:space="preserve"> vykonává jakoukoliv činnost, zejména zaměstnanec, externí s</w:t>
      </w:r>
      <w:r>
        <w:rPr>
          <w:rFonts w:ascii="Calibri" w:hAnsi="Calibri" w:cs="Calibri"/>
        </w:rPr>
        <w:t>polupracovník, dodavatel apod.</w:t>
      </w:r>
    </w:p>
    <w:p w:rsidR="00BA144D"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 xml:space="preserve">Subjekt údajů </w:t>
      </w:r>
      <w:r>
        <w:rPr>
          <w:rFonts w:ascii="Calibri" w:hAnsi="Calibri" w:cs="Calibri"/>
        </w:rPr>
        <w:t xml:space="preserve">se považuje </w:t>
      </w:r>
      <w:r w:rsidR="000E53E6" w:rsidRPr="00BA144D">
        <w:rPr>
          <w:rFonts w:ascii="Calibri" w:hAnsi="Calibri" w:cs="Calibri"/>
        </w:rPr>
        <w:t>každá fyzická osoba, včetně os</w:t>
      </w:r>
      <w:r>
        <w:rPr>
          <w:rFonts w:ascii="Calibri" w:hAnsi="Calibri" w:cs="Calibri"/>
        </w:rPr>
        <w:t>ob samostatně výdělečně činných.</w:t>
      </w:r>
    </w:p>
    <w:p w:rsidR="002E61D3" w:rsidRDefault="002E61D3" w:rsidP="005668AA">
      <w:pPr>
        <w:numPr>
          <w:ilvl w:val="1"/>
          <w:numId w:val="9"/>
        </w:numPr>
        <w:spacing w:line="276" w:lineRule="auto"/>
        <w:ind w:left="709" w:hanging="709"/>
        <w:jc w:val="both"/>
        <w:rPr>
          <w:rFonts w:ascii="Calibri" w:hAnsi="Calibri" w:cs="Calibri"/>
        </w:rPr>
      </w:pPr>
      <w:r>
        <w:rPr>
          <w:rFonts w:ascii="Calibri" w:hAnsi="Calibri" w:cs="Calibri"/>
        </w:rPr>
        <w:t xml:space="preserve">Za </w:t>
      </w:r>
      <w:r w:rsidR="000E53E6" w:rsidRPr="00BA144D">
        <w:rPr>
          <w:rFonts w:ascii="Calibri" w:hAnsi="Calibri" w:cs="Calibri"/>
        </w:rPr>
        <w:t xml:space="preserve">Zpracování osobních údajů </w:t>
      </w:r>
      <w:r>
        <w:rPr>
          <w:rFonts w:ascii="Calibri" w:hAnsi="Calibri" w:cs="Calibri"/>
        </w:rPr>
        <w:t xml:space="preserve">se považuje </w:t>
      </w:r>
      <w:r w:rsidR="000E53E6" w:rsidRPr="00BA144D">
        <w:rPr>
          <w:rFonts w:ascii="Calibri" w:hAnsi="Calibri" w:cs="Calibri"/>
        </w:rPr>
        <w:t>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E13F0D" w:rsidRDefault="00E13F0D" w:rsidP="005668AA">
      <w:pPr>
        <w:numPr>
          <w:ilvl w:val="1"/>
          <w:numId w:val="9"/>
        </w:numPr>
        <w:spacing w:line="276" w:lineRule="auto"/>
        <w:ind w:left="709" w:hanging="709"/>
        <w:jc w:val="both"/>
        <w:rPr>
          <w:rFonts w:ascii="Calibri" w:hAnsi="Calibri" w:cs="Calibri"/>
        </w:rPr>
      </w:pPr>
      <w:r>
        <w:rPr>
          <w:rFonts w:ascii="Calibri" w:hAnsi="Calibri" w:cs="Calibri"/>
        </w:rPr>
        <w:lastRenderedPageBreak/>
        <w:t xml:space="preserve">Za Příslušnou osobu se považuje Zaměstnanec Organizace uvedený v příloze č. </w:t>
      </w:r>
      <w:r w:rsidR="00716B5A">
        <w:rPr>
          <w:rFonts w:ascii="Calibri" w:hAnsi="Calibri" w:cs="Calibri"/>
        </w:rPr>
        <w:t xml:space="preserve">1 </w:t>
      </w:r>
      <w:r>
        <w:rPr>
          <w:rFonts w:ascii="Calibri" w:hAnsi="Calibri" w:cs="Calibri"/>
        </w:rPr>
        <w:t xml:space="preserve">této Směrnice, odpovědný za </w:t>
      </w:r>
      <w:r w:rsidR="006918BA">
        <w:rPr>
          <w:rFonts w:ascii="Calibri" w:hAnsi="Calibri" w:cs="Calibri"/>
        </w:rPr>
        <w:t>příslušnou agendu v Organizaci.</w:t>
      </w:r>
    </w:p>
    <w:p w:rsidR="002E61D3" w:rsidRPr="002E61D3" w:rsidRDefault="002E61D3" w:rsidP="005668AA">
      <w:pPr>
        <w:numPr>
          <w:ilvl w:val="1"/>
          <w:numId w:val="9"/>
        </w:numPr>
        <w:spacing w:line="276" w:lineRule="auto"/>
        <w:ind w:left="709" w:hanging="709"/>
        <w:jc w:val="both"/>
        <w:rPr>
          <w:rFonts w:ascii="Calibri" w:hAnsi="Calibri" w:cs="Calibri"/>
        </w:rPr>
      </w:pPr>
      <w:r w:rsidRPr="002E61D3">
        <w:rPr>
          <w:rFonts w:ascii="Calibri" w:hAnsi="Calibri" w:cs="Calibri"/>
        </w:rPr>
        <w:t>Další pojmy touto Směrnicí neurčené mají význam ve smyslu GDPR.</w:t>
      </w:r>
    </w:p>
    <w:p w:rsidR="00B75ADB" w:rsidRPr="00B75ADB" w:rsidRDefault="00B75ADB" w:rsidP="00BF0D94">
      <w:pPr>
        <w:spacing w:line="276" w:lineRule="auto"/>
        <w:rPr>
          <w:rFonts w:ascii="Calibri" w:hAnsi="Calibri" w:cs="Calibri"/>
        </w:rPr>
      </w:pPr>
    </w:p>
    <w:p w:rsidR="006918BA" w:rsidRPr="0023271A" w:rsidRDefault="006918BA" w:rsidP="0023271A">
      <w:pPr>
        <w:numPr>
          <w:ilvl w:val="0"/>
          <w:numId w:val="9"/>
        </w:numPr>
        <w:spacing w:line="276" w:lineRule="auto"/>
        <w:ind w:left="709" w:hanging="709"/>
        <w:jc w:val="both"/>
        <w:rPr>
          <w:rFonts w:ascii="Calibri" w:hAnsi="Calibri" w:cs="Calibri"/>
          <w:b/>
        </w:rPr>
      </w:pPr>
      <w:r>
        <w:rPr>
          <w:rFonts w:ascii="Calibri" w:hAnsi="Calibri" w:cs="Calibri"/>
          <w:b/>
        </w:rPr>
        <w:t>ZÁSADY ZPRACOVÁNÍ OSOBNÍCH ÚDAJŮ</w:t>
      </w:r>
    </w:p>
    <w:p w:rsidR="00AF356A" w:rsidRPr="00B75ADB" w:rsidRDefault="00343603" w:rsidP="00343603">
      <w:pPr>
        <w:numPr>
          <w:ilvl w:val="1"/>
          <w:numId w:val="9"/>
        </w:numPr>
        <w:spacing w:line="276" w:lineRule="auto"/>
        <w:ind w:left="709" w:hanging="709"/>
        <w:jc w:val="both"/>
        <w:rPr>
          <w:rFonts w:ascii="Calibri" w:hAnsi="Calibri" w:cs="Calibri"/>
          <w:b/>
        </w:rPr>
      </w:pPr>
      <w:r>
        <w:rPr>
          <w:rFonts w:ascii="Calibri" w:hAnsi="Calibri" w:cs="Calibri"/>
        </w:rPr>
        <w:t>Organizace</w:t>
      </w:r>
      <w:r w:rsidR="00B75ADB" w:rsidRPr="00B75ADB">
        <w:rPr>
          <w:rFonts w:ascii="Calibri" w:hAnsi="Calibri" w:cs="Calibri"/>
        </w:rPr>
        <w:t xml:space="preserve"> určuje </w:t>
      </w:r>
      <w:r>
        <w:rPr>
          <w:rFonts w:ascii="Calibri" w:hAnsi="Calibri" w:cs="Calibri"/>
        </w:rPr>
        <w:t>účel</w:t>
      </w:r>
      <w:r w:rsidR="00AF356A" w:rsidRPr="00B75ADB">
        <w:rPr>
          <w:rFonts w:ascii="Calibri" w:hAnsi="Calibri" w:cs="Calibri"/>
        </w:rPr>
        <w:t xml:space="preserve"> a prostředky zpracování O</w:t>
      </w:r>
      <w:r w:rsidR="00B75ADB" w:rsidRPr="00B75ADB">
        <w:rPr>
          <w:rFonts w:ascii="Calibri" w:hAnsi="Calibri" w:cs="Calibri"/>
        </w:rPr>
        <w:t>sobníc</w:t>
      </w:r>
      <w:r w:rsidR="00AF356A" w:rsidRPr="00B75ADB">
        <w:rPr>
          <w:rFonts w:ascii="Calibri" w:hAnsi="Calibri" w:cs="Calibri"/>
        </w:rPr>
        <w:t xml:space="preserve">h údajů pro každou evidenci </w:t>
      </w:r>
      <w:r>
        <w:rPr>
          <w:rFonts w:ascii="Calibri" w:hAnsi="Calibri" w:cs="Calibri"/>
        </w:rPr>
        <w:t xml:space="preserve">v Organizaci, včetně doby zpracování, nebo </w:t>
      </w:r>
      <w:proofErr w:type="gramStart"/>
      <w:r>
        <w:rPr>
          <w:rFonts w:ascii="Calibri" w:hAnsi="Calibri" w:cs="Calibri"/>
        </w:rPr>
        <w:t>kritéria na</w:t>
      </w:r>
      <w:proofErr w:type="gramEnd"/>
      <w:r>
        <w:rPr>
          <w:rFonts w:ascii="Calibri" w:hAnsi="Calibri" w:cs="Calibri"/>
        </w:rPr>
        <w:t xml:space="preserve"> základě kterých bude tato doba určena</w:t>
      </w:r>
      <w:r w:rsidR="0023271A">
        <w:rPr>
          <w:rFonts w:ascii="Calibri" w:hAnsi="Calibri" w:cs="Calibri"/>
        </w:rPr>
        <w:t>, pokud tyto nevyplývají z právního předpisu</w:t>
      </w:r>
      <w:r>
        <w:rPr>
          <w:rFonts w:ascii="Calibri" w:hAnsi="Calibri" w:cs="Calibri"/>
        </w:rPr>
        <w:t>.</w:t>
      </w:r>
      <w:r w:rsidR="0023271A">
        <w:rPr>
          <w:rFonts w:ascii="Calibri" w:hAnsi="Calibri" w:cs="Calibri"/>
        </w:rPr>
        <w:t xml:space="preserve">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 xml:space="preserve">Osobní údaje jsou zpracovávány po dobu určenou </w:t>
      </w:r>
      <w:r w:rsidR="00343603">
        <w:rPr>
          <w:rFonts w:ascii="Calibri" w:hAnsi="Calibri" w:cs="Calibri"/>
        </w:rPr>
        <w:t xml:space="preserve">v bodu </w:t>
      </w:r>
      <w:proofErr w:type="gramStart"/>
      <w:r w:rsidR="00343603">
        <w:rPr>
          <w:rFonts w:ascii="Calibri" w:hAnsi="Calibri" w:cs="Calibri"/>
        </w:rPr>
        <w:t>2.1. v souladu</w:t>
      </w:r>
      <w:proofErr w:type="gramEnd"/>
      <w:r w:rsidR="00343603">
        <w:rPr>
          <w:rFonts w:ascii="Calibri" w:hAnsi="Calibri" w:cs="Calibri"/>
        </w:rPr>
        <w:t xml:space="preserve"> s </w:t>
      </w:r>
      <w:r w:rsidRPr="00B75ADB">
        <w:rPr>
          <w:rFonts w:ascii="Calibri" w:hAnsi="Calibri" w:cs="Calibri"/>
        </w:rPr>
        <w:t xml:space="preserve">právními předpisy nebo po dobu trvání licence ke zpracovávání osobních údajů správcem. </w:t>
      </w:r>
    </w:p>
    <w:p w:rsidR="00AF356A" w:rsidRPr="00B75ADB" w:rsidRDefault="00343603" w:rsidP="00343603">
      <w:pPr>
        <w:numPr>
          <w:ilvl w:val="1"/>
          <w:numId w:val="9"/>
        </w:numPr>
        <w:spacing w:line="276" w:lineRule="auto"/>
        <w:ind w:left="709" w:hanging="709"/>
        <w:jc w:val="both"/>
        <w:rPr>
          <w:rFonts w:ascii="Calibri" w:hAnsi="Calibri" w:cs="Calibri"/>
          <w:b/>
        </w:rPr>
      </w:pPr>
      <w:r>
        <w:rPr>
          <w:rFonts w:ascii="Calibri" w:hAnsi="Calibri" w:cs="Calibri"/>
        </w:rPr>
        <w:t>Evidence o Zpracování osobních údajů je vedena</w:t>
      </w:r>
      <w:r w:rsidR="00B75ADB" w:rsidRPr="00B75ADB">
        <w:rPr>
          <w:rFonts w:ascii="Calibri" w:hAnsi="Calibri" w:cs="Calibri"/>
        </w:rPr>
        <w:t xml:space="preserve"> v záznamech o činnostech zpracování vedených dle čl. 30 GDPR.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Praco</w:t>
      </w:r>
      <w:r w:rsidR="00D544E9" w:rsidRPr="00B75ADB">
        <w:rPr>
          <w:rFonts w:ascii="Calibri" w:hAnsi="Calibri" w:cs="Calibri"/>
        </w:rPr>
        <w:t>vníci jsou povinni zpracovávat O</w:t>
      </w:r>
      <w:r w:rsidRPr="00B75ADB">
        <w:rPr>
          <w:rFonts w:ascii="Calibri" w:hAnsi="Calibri" w:cs="Calibri"/>
        </w:rPr>
        <w:t xml:space="preserve">sobní údaje ve vztahu k subjektu údajů korektně a </w:t>
      </w:r>
      <w:r w:rsidR="00343603">
        <w:rPr>
          <w:rFonts w:ascii="Calibri" w:hAnsi="Calibri" w:cs="Calibri"/>
        </w:rPr>
        <w:t>zákonně.</w:t>
      </w:r>
      <w:r w:rsidRPr="00B75ADB">
        <w:rPr>
          <w:rFonts w:ascii="Calibri" w:hAnsi="Calibri" w:cs="Calibri"/>
        </w:rPr>
        <w:t xml:space="preserve"> </w:t>
      </w:r>
    </w:p>
    <w:p w:rsidR="00AF356A" w:rsidRPr="00B75ADB"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Každý pracovník smí zpr</w:t>
      </w:r>
      <w:r w:rsidR="00D544E9" w:rsidRPr="00B75ADB">
        <w:rPr>
          <w:rFonts w:ascii="Calibri" w:hAnsi="Calibri" w:cs="Calibri"/>
        </w:rPr>
        <w:t xml:space="preserve">acovávat osobní údaje pouze za </w:t>
      </w:r>
      <w:r w:rsidR="00343603">
        <w:rPr>
          <w:rFonts w:ascii="Calibri" w:hAnsi="Calibri" w:cs="Calibri"/>
        </w:rPr>
        <w:t>Organizaci</w:t>
      </w:r>
      <w:r w:rsidRPr="00B75ADB">
        <w:rPr>
          <w:rFonts w:ascii="Calibri" w:hAnsi="Calibri" w:cs="Calibri"/>
        </w:rPr>
        <w:t xml:space="preserve"> určeným účelem, a to pouze </w:t>
      </w:r>
      <w:r w:rsidR="00343603">
        <w:rPr>
          <w:rFonts w:ascii="Calibri" w:hAnsi="Calibri" w:cs="Calibri"/>
        </w:rPr>
        <w:t>Organizací</w:t>
      </w:r>
      <w:r w:rsidRPr="00B75ADB">
        <w:rPr>
          <w:rFonts w:ascii="Calibri" w:hAnsi="Calibri" w:cs="Calibri"/>
        </w:rPr>
        <w:t xml:space="preserve"> určenými prostředky.</w:t>
      </w:r>
    </w:p>
    <w:p w:rsidR="00343603" w:rsidRPr="00343603"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Pracovn</w:t>
      </w:r>
      <w:r w:rsidR="00AF356A" w:rsidRPr="00B75ADB">
        <w:rPr>
          <w:rFonts w:ascii="Calibri" w:hAnsi="Calibri" w:cs="Calibri"/>
        </w:rPr>
        <w:t>íci jsou oprávněni zpracovávat O</w:t>
      </w:r>
      <w:r w:rsidRPr="00B75ADB">
        <w:rPr>
          <w:rFonts w:ascii="Calibri" w:hAnsi="Calibri" w:cs="Calibri"/>
        </w:rPr>
        <w:t xml:space="preserve">sobní </w:t>
      </w:r>
      <w:r w:rsidR="00AF356A" w:rsidRPr="00B75ADB">
        <w:rPr>
          <w:rFonts w:ascii="Calibri" w:hAnsi="Calibri" w:cs="Calibri"/>
        </w:rPr>
        <w:t xml:space="preserve">údaje pouze v souladu s pokyny </w:t>
      </w:r>
      <w:r w:rsidR="00343603">
        <w:rPr>
          <w:rFonts w:ascii="Calibri" w:hAnsi="Calibri" w:cs="Calibri"/>
        </w:rPr>
        <w:t>Organizace</w:t>
      </w:r>
      <w:r w:rsidRPr="00B75ADB">
        <w:rPr>
          <w:rFonts w:ascii="Calibri" w:hAnsi="Calibri" w:cs="Calibri"/>
        </w:rPr>
        <w:t>. Pr</w:t>
      </w:r>
      <w:r w:rsidR="00D544E9" w:rsidRPr="00B75ADB">
        <w:rPr>
          <w:rFonts w:ascii="Calibri" w:hAnsi="Calibri" w:cs="Calibri"/>
        </w:rPr>
        <w:t>acovníci smí zpracovávat pouze O</w:t>
      </w:r>
      <w:r w:rsidRPr="00B75ADB">
        <w:rPr>
          <w:rFonts w:ascii="Calibri" w:hAnsi="Calibri" w:cs="Calibri"/>
        </w:rPr>
        <w:t>sobní údaje nezbytné pr</w:t>
      </w:r>
      <w:r w:rsidR="00D544E9" w:rsidRPr="00B75ADB">
        <w:rPr>
          <w:rFonts w:ascii="Calibri" w:hAnsi="Calibri" w:cs="Calibri"/>
        </w:rPr>
        <w:t xml:space="preserve">o plnění svých povinností vůči </w:t>
      </w:r>
      <w:r w:rsidR="00343603">
        <w:rPr>
          <w:rFonts w:ascii="Calibri" w:hAnsi="Calibri" w:cs="Calibri"/>
        </w:rPr>
        <w:t>Organizaci</w:t>
      </w:r>
      <w:r w:rsidRPr="00B75ADB">
        <w:rPr>
          <w:rFonts w:ascii="Calibri" w:hAnsi="Calibri" w:cs="Calibri"/>
        </w:rPr>
        <w:t xml:space="preserve">. </w:t>
      </w:r>
    </w:p>
    <w:p w:rsidR="00AF356A" w:rsidRPr="00B75ADB" w:rsidRDefault="00343603" w:rsidP="00343603">
      <w:pPr>
        <w:numPr>
          <w:ilvl w:val="1"/>
          <w:numId w:val="9"/>
        </w:numPr>
        <w:spacing w:line="276" w:lineRule="auto"/>
        <w:ind w:left="709" w:hanging="709"/>
        <w:jc w:val="both"/>
        <w:rPr>
          <w:rFonts w:ascii="Calibri" w:hAnsi="Calibri" w:cs="Calibri"/>
          <w:b/>
        </w:rPr>
      </w:pPr>
      <w:r>
        <w:rPr>
          <w:rFonts w:ascii="Calibri" w:hAnsi="Calibri" w:cs="Calibri"/>
        </w:rPr>
        <w:t xml:space="preserve">Organizace za účelem Zpracování dle bodu </w:t>
      </w:r>
      <w:proofErr w:type="gramStart"/>
      <w:r>
        <w:rPr>
          <w:rFonts w:ascii="Calibri" w:hAnsi="Calibri" w:cs="Calibri"/>
        </w:rPr>
        <w:t>2.6. zřizuje</w:t>
      </w:r>
      <w:proofErr w:type="gramEnd"/>
      <w:r>
        <w:rPr>
          <w:rFonts w:ascii="Calibri" w:hAnsi="Calibri" w:cs="Calibri"/>
        </w:rPr>
        <w:t xml:space="preserve"> P</w:t>
      </w:r>
      <w:r w:rsidR="00B75ADB" w:rsidRPr="00B75ADB">
        <w:rPr>
          <w:rFonts w:ascii="Calibri" w:hAnsi="Calibri" w:cs="Calibri"/>
        </w:rPr>
        <w:t>racovníkům přístup pouze k nezbytně nutným evidencím osobních údajů.</w:t>
      </w:r>
    </w:p>
    <w:p w:rsidR="00D544E9" w:rsidRPr="00B75ADB" w:rsidRDefault="00AF356A" w:rsidP="00343603">
      <w:pPr>
        <w:numPr>
          <w:ilvl w:val="1"/>
          <w:numId w:val="9"/>
        </w:numPr>
        <w:spacing w:line="276" w:lineRule="auto"/>
        <w:ind w:left="709" w:hanging="709"/>
        <w:jc w:val="both"/>
        <w:rPr>
          <w:rFonts w:ascii="Calibri" w:hAnsi="Calibri" w:cs="Calibri"/>
          <w:b/>
        </w:rPr>
      </w:pPr>
      <w:r w:rsidRPr="00B75ADB">
        <w:rPr>
          <w:rFonts w:ascii="Calibri" w:hAnsi="Calibri" w:cs="Calibri"/>
        </w:rPr>
        <w:t>Má-li P</w:t>
      </w:r>
      <w:r w:rsidR="00B75ADB" w:rsidRPr="00B75ADB">
        <w:rPr>
          <w:rFonts w:ascii="Calibri" w:hAnsi="Calibri" w:cs="Calibri"/>
        </w:rPr>
        <w:t>racovník podezř</w:t>
      </w:r>
      <w:r w:rsidRPr="00B75ADB">
        <w:rPr>
          <w:rFonts w:ascii="Calibri" w:hAnsi="Calibri" w:cs="Calibri"/>
        </w:rPr>
        <w:t>ení, nebo dozví-li se, že jsou O</w:t>
      </w:r>
      <w:r w:rsidR="00B75ADB" w:rsidRPr="00B75ADB">
        <w:rPr>
          <w:rFonts w:ascii="Calibri" w:hAnsi="Calibri" w:cs="Calibri"/>
        </w:rPr>
        <w:t>sobní údaje jakéhokoliv subjektu údajů nepřesné, neúplné či zastaralé, ohl</w:t>
      </w:r>
      <w:r w:rsidR="00D544E9" w:rsidRPr="00B75ADB">
        <w:rPr>
          <w:rFonts w:ascii="Calibri" w:hAnsi="Calibri" w:cs="Calibri"/>
        </w:rPr>
        <w:t xml:space="preserve">ásí to </w:t>
      </w:r>
      <w:r w:rsidR="00E13F0D">
        <w:rPr>
          <w:rFonts w:ascii="Calibri" w:hAnsi="Calibri" w:cs="Calibri"/>
        </w:rPr>
        <w:t>Příslušné osobě.</w:t>
      </w:r>
    </w:p>
    <w:p w:rsidR="00B75ADB" w:rsidRPr="005668AA" w:rsidRDefault="00B75ADB" w:rsidP="00343603">
      <w:pPr>
        <w:numPr>
          <w:ilvl w:val="1"/>
          <w:numId w:val="9"/>
        </w:numPr>
        <w:spacing w:line="276" w:lineRule="auto"/>
        <w:ind w:left="709" w:hanging="709"/>
        <w:jc w:val="both"/>
        <w:rPr>
          <w:rFonts w:ascii="Calibri" w:hAnsi="Calibri" w:cs="Calibri"/>
          <w:b/>
        </w:rPr>
      </w:pPr>
      <w:r w:rsidRPr="00B75ADB">
        <w:rPr>
          <w:rFonts w:ascii="Calibri" w:hAnsi="Calibri" w:cs="Calibri"/>
        </w:rPr>
        <w:t>Má-li pracovník podezř</w:t>
      </w:r>
      <w:r w:rsidR="000E5C3B" w:rsidRPr="00B75ADB">
        <w:rPr>
          <w:rFonts w:ascii="Calibri" w:hAnsi="Calibri" w:cs="Calibri"/>
        </w:rPr>
        <w:t>ení, nebo dozví-li se, že jsou O</w:t>
      </w:r>
      <w:r w:rsidRPr="00B75ADB">
        <w:rPr>
          <w:rFonts w:ascii="Calibri" w:hAnsi="Calibri" w:cs="Calibri"/>
        </w:rPr>
        <w:t>sobní údaje zpracovávány déle, než je nezbytné pro účely, pro které jsou zpracovávány, ohl</w:t>
      </w:r>
      <w:r w:rsidR="000E5C3B" w:rsidRPr="00B75ADB">
        <w:rPr>
          <w:rFonts w:ascii="Calibri" w:hAnsi="Calibri" w:cs="Calibri"/>
        </w:rPr>
        <w:t xml:space="preserve">ásí to </w:t>
      </w:r>
      <w:r w:rsidR="00E13F0D">
        <w:rPr>
          <w:rFonts w:ascii="Calibri" w:hAnsi="Calibri" w:cs="Calibri"/>
        </w:rPr>
        <w:t>Příslušné osobě.</w:t>
      </w:r>
    </w:p>
    <w:p w:rsidR="005668AA" w:rsidRPr="00B75ADB" w:rsidRDefault="005668AA" w:rsidP="00343603">
      <w:pPr>
        <w:numPr>
          <w:ilvl w:val="1"/>
          <w:numId w:val="9"/>
        </w:numPr>
        <w:spacing w:line="276" w:lineRule="auto"/>
        <w:ind w:left="709" w:hanging="709"/>
        <w:jc w:val="both"/>
        <w:rPr>
          <w:rFonts w:ascii="Calibri" w:hAnsi="Calibri" w:cs="Calibri"/>
        </w:rPr>
      </w:pPr>
      <w:r w:rsidRPr="00B75ADB">
        <w:rPr>
          <w:rFonts w:ascii="Calibri" w:hAnsi="Calibri" w:cs="Calibri"/>
        </w:rPr>
        <w:t>Tato směrnice se vztahuje na každého Pracovníka Společnosti, když zpracovává osobní údaje nebo plní jinou činnost, která je upravena v GDPR.</w:t>
      </w:r>
    </w:p>
    <w:p w:rsidR="005668AA" w:rsidRDefault="005668AA" w:rsidP="00343603">
      <w:pPr>
        <w:numPr>
          <w:ilvl w:val="1"/>
          <w:numId w:val="9"/>
        </w:numPr>
        <w:spacing w:line="276" w:lineRule="auto"/>
        <w:ind w:left="709" w:hanging="709"/>
        <w:jc w:val="both"/>
        <w:rPr>
          <w:rFonts w:ascii="Calibri" w:hAnsi="Calibri" w:cs="Calibri"/>
        </w:rPr>
      </w:pPr>
      <w:r w:rsidRPr="00B75ADB">
        <w:rPr>
          <w:rFonts w:ascii="Calibri" w:hAnsi="Calibri" w:cs="Calibri"/>
        </w:rPr>
        <w:t>Každý Pracovník, jehož se tato směrnice dotýká</w:t>
      </w:r>
      <w:r w:rsidR="00176135">
        <w:rPr>
          <w:rFonts w:ascii="Calibri" w:hAnsi="Calibri" w:cs="Calibri"/>
        </w:rPr>
        <w:t>,</w:t>
      </w:r>
      <w:r w:rsidRPr="00B75ADB">
        <w:rPr>
          <w:rFonts w:ascii="Calibri" w:hAnsi="Calibri" w:cs="Calibri"/>
        </w:rPr>
        <w:t xml:space="preserve"> bude proškolen na ochranu osobních údajů dle této směrnice a proškolení své osoby stvrdí podpisem.</w:t>
      </w:r>
    </w:p>
    <w:p w:rsidR="00743BC8" w:rsidRPr="00743BC8" w:rsidRDefault="00743BC8" w:rsidP="00743BC8">
      <w:pPr>
        <w:numPr>
          <w:ilvl w:val="1"/>
          <w:numId w:val="9"/>
        </w:numPr>
        <w:spacing w:line="276" w:lineRule="auto"/>
        <w:ind w:left="709" w:hanging="709"/>
        <w:jc w:val="both"/>
        <w:rPr>
          <w:rFonts w:ascii="Calibri" w:hAnsi="Calibri" w:cs="Calibri"/>
          <w:b/>
        </w:rPr>
      </w:pPr>
      <w:r w:rsidRPr="00B75ADB">
        <w:rPr>
          <w:rFonts w:ascii="Calibri" w:hAnsi="Calibri" w:cs="Calibri"/>
        </w:rPr>
        <w:t xml:space="preserve">Ukládá-li tato směrnice povinnost osobě oznámit jakoukoliv informaci druhé osobě, provede první osoba oznámení v písemné podobě. Za tuto písemnou podobu se považuje listinný dopis nebo e-mail. </w:t>
      </w:r>
    </w:p>
    <w:p w:rsidR="000E5C3B" w:rsidRPr="00B75ADB" w:rsidRDefault="000E5C3B" w:rsidP="000E5C3B">
      <w:pPr>
        <w:spacing w:line="276" w:lineRule="auto"/>
        <w:ind w:left="709"/>
        <w:jc w:val="both"/>
        <w:rPr>
          <w:rFonts w:ascii="Calibri" w:hAnsi="Calibri" w:cs="Calibri"/>
          <w:b/>
        </w:rPr>
      </w:pPr>
    </w:p>
    <w:p w:rsidR="00950BA1" w:rsidRPr="0023271A" w:rsidRDefault="00950BA1" w:rsidP="0023271A">
      <w:pPr>
        <w:numPr>
          <w:ilvl w:val="0"/>
          <w:numId w:val="9"/>
        </w:numPr>
        <w:spacing w:line="276" w:lineRule="auto"/>
        <w:ind w:left="709" w:hanging="709"/>
        <w:jc w:val="both"/>
        <w:rPr>
          <w:rFonts w:ascii="Calibri" w:hAnsi="Calibri" w:cs="Calibri"/>
          <w:b/>
        </w:rPr>
      </w:pPr>
      <w:r>
        <w:rPr>
          <w:rFonts w:ascii="Calibri" w:hAnsi="Calibri" w:cs="Calibri"/>
          <w:b/>
        </w:rPr>
        <w:t>ZÁSADY BEZPEČNOSTI</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Pracovník, případně další spolupracující osoby jsou povinny nakládat s Osobními údaji s řádnou péčí, tak aby nedocházelo k únikům Osobních údajů nebo ke zpřístupnění Osobních údajů osobám, které nemají oprávnění.</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Ochrana elektronických dokumentů (evidence) a ochrana před neoprávněným přístupem do sítě je zabezpečena přístupovým heslem, data jsou šifrována, společnost má HW firewall. Přístupová hesla jsou měněna každý 3. měsíc.</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Ochrana před neoprávněným přístupem do prostor Společnosti je zabezpečena uzamykáním vchodových dveří</w:t>
      </w:r>
      <w:r w:rsidR="00176135">
        <w:rPr>
          <w:rFonts w:ascii="Calibri" w:hAnsi="Calibri" w:cs="Calibri"/>
        </w:rPr>
        <w:t>.</w:t>
      </w:r>
    </w:p>
    <w:p w:rsidR="00950BA1" w:rsidRPr="00BE45E2"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lastRenderedPageBreak/>
        <w:t>Ochrana analogových dokumentů (evidence) před neoprávněným kopírováním a užitím je zabezp</w:t>
      </w:r>
      <w:r w:rsidR="00176135">
        <w:rPr>
          <w:rFonts w:ascii="Calibri" w:hAnsi="Calibri" w:cs="Calibri"/>
        </w:rPr>
        <w:t>ečena uložením v uzamčené místnosti</w:t>
      </w:r>
      <w:r w:rsidRPr="00BE45E2">
        <w:rPr>
          <w:rFonts w:ascii="Calibri" w:hAnsi="Calibri" w:cs="Calibri"/>
        </w:rPr>
        <w:t xml:space="preserve">. Každý analogový dokument podléhá dokumentaci. </w:t>
      </w:r>
    </w:p>
    <w:p w:rsidR="00950BA1" w:rsidRPr="0023271A" w:rsidRDefault="00950BA1" w:rsidP="00950BA1">
      <w:pPr>
        <w:numPr>
          <w:ilvl w:val="1"/>
          <w:numId w:val="9"/>
        </w:numPr>
        <w:spacing w:line="276" w:lineRule="auto"/>
        <w:ind w:left="709" w:hanging="709"/>
        <w:jc w:val="both"/>
        <w:rPr>
          <w:rFonts w:ascii="Calibri" w:hAnsi="Calibri" w:cs="Calibri"/>
          <w:b/>
        </w:rPr>
      </w:pPr>
      <w:r w:rsidRPr="00BE45E2">
        <w:rPr>
          <w:rFonts w:ascii="Calibri" w:hAnsi="Calibri" w:cs="Calibri"/>
        </w:rPr>
        <w:t xml:space="preserve">Osobní mobilní zařízení a osobní počítače mohou být využívány k přístupu do systémů </w:t>
      </w:r>
      <w:r w:rsidR="00382F47" w:rsidRPr="0023271A">
        <w:rPr>
          <w:rFonts w:ascii="Calibri" w:hAnsi="Calibri" w:cs="Calibri"/>
        </w:rPr>
        <w:t>Organizace</w:t>
      </w:r>
      <w:r w:rsidRPr="0023271A">
        <w:rPr>
          <w:rFonts w:ascii="Calibri" w:hAnsi="Calibri" w:cs="Calibri"/>
        </w:rPr>
        <w:t xml:space="preserve"> pouze se souhlasem </w:t>
      </w:r>
      <w:r w:rsidR="00382F47" w:rsidRPr="0023271A">
        <w:rPr>
          <w:rFonts w:ascii="Calibri" w:hAnsi="Calibri" w:cs="Calibri"/>
        </w:rPr>
        <w:t>Příslušné osoby</w:t>
      </w:r>
      <w:r w:rsidRPr="0023271A">
        <w:rPr>
          <w:rFonts w:ascii="Calibri" w:hAnsi="Calibri" w:cs="Calibri"/>
        </w:rPr>
        <w:t>.</w:t>
      </w:r>
    </w:p>
    <w:p w:rsidR="00950BA1" w:rsidRPr="00B75ADB" w:rsidRDefault="00950BA1" w:rsidP="00950BA1">
      <w:pPr>
        <w:numPr>
          <w:ilvl w:val="1"/>
          <w:numId w:val="9"/>
        </w:numPr>
        <w:spacing w:line="276" w:lineRule="auto"/>
        <w:ind w:left="709" w:hanging="709"/>
        <w:jc w:val="both"/>
        <w:rPr>
          <w:rFonts w:ascii="Calibri" w:hAnsi="Calibri" w:cs="Calibri"/>
        </w:rPr>
      </w:pPr>
      <w:r w:rsidRPr="0023271A">
        <w:rPr>
          <w:rFonts w:ascii="Calibri" w:hAnsi="Calibri" w:cs="Calibri"/>
        </w:rPr>
        <w:t xml:space="preserve">Tato směrnice se vztahuje na každého Pracovníka </w:t>
      </w:r>
      <w:r w:rsidR="00382F47" w:rsidRPr="0023271A">
        <w:rPr>
          <w:rFonts w:ascii="Calibri" w:hAnsi="Calibri" w:cs="Calibri"/>
        </w:rPr>
        <w:t>Organizace</w:t>
      </w:r>
      <w:r w:rsidRPr="0023271A">
        <w:rPr>
          <w:rFonts w:ascii="Calibri" w:hAnsi="Calibri" w:cs="Calibri"/>
        </w:rPr>
        <w:t>,</w:t>
      </w:r>
      <w:r w:rsidRPr="00B75ADB">
        <w:rPr>
          <w:rFonts w:ascii="Calibri" w:hAnsi="Calibri" w:cs="Calibri"/>
        </w:rPr>
        <w:t xml:space="preserve"> když zpracovává osobní údaje nebo plní jinou činnost, která je upravena v GDPR.</w:t>
      </w:r>
    </w:p>
    <w:p w:rsidR="00950BA1" w:rsidRPr="001429B2" w:rsidRDefault="00950BA1" w:rsidP="00950BA1">
      <w:pPr>
        <w:numPr>
          <w:ilvl w:val="1"/>
          <w:numId w:val="9"/>
        </w:numPr>
        <w:spacing w:line="276" w:lineRule="auto"/>
        <w:ind w:left="709" w:hanging="709"/>
        <w:jc w:val="both"/>
        <w:rPr>
          <w:rFonts w:ascii="Calibri" w:hAnsi="Calibri" w:cs="Calibri"/>
        </w:rPr>
      </w:pPr>
      <w:r w:rsidRPr="00B75ADB">
        <w:rPr>
          <w:rFonts w:ascii="Calibri" w:hAnsi="Calibri" w:cs="Calibri"/>
        </w:rPr>
        <w:t>Každý Pracovník, jehož se tato směrnice dotýká</w:t>
      </w:r>
      <w:r w:rsidR="00176135">
        <w:rPr>
          <w:rFonts w:ascii="Calibri" w:hAnsi="Calibri" w:cs="Calibri"/>
        </w:rPr>
        <w:t>,</w:t>
      </w:r>
      <w:r w:rsidRPr="00B75ADB">
        <w:rPr>
          <w:rFonts w:ascii="Calibri" w:hAnsi="Calibri" w:cs="Calibri"/>
        </w:rPr>
        <w:t xml:space="preserve"> bude proškolen na ochranu osobních údajů dle této směrnice a proškolení své osoby stvrdí podpisem.</w:t>
      </w:r>
    </w:p>
    <w:p w:rsidR="00950BA1" w:rsidRDefault="00950BA1" w:rsidP="00950BA1">
      <w:pPr>
        <w:spacing w:line="276" w:lineRule="auto"/>
        <w:ind w:left="567"/>
        <w:jc w:val="both"/>
        <w:rPr>
          <w:rFonts w:ascii="Calibri" w:hAnsi="Calibri" w:cs="Calibri"/>
          <w:b/>
        </w:rPr>
      </w:pPr>
    </w:p>
    <w:p w:rsidR="006918BA" w:rsidRPr="0023271A" w:rsidRDefault="000E5C3B" w:rsidP="0023271A">
      <w:pPr>
        <w:numPr>
          <w:ilvl w:val="0"/>
          <w:numId w:val="9"/>
        </w:numPr>
        <w:spacing w:line="276" w:lineRule="auto"/>
        <w:ind w:left="709" w:hanging="709"/>
        <w:jc w:val="both"/>
        <w:rPr>
          <w:rFonts w:ascii="Calibri" w:hAnsi="Calibri" w:cs="Calibri"/>
          <w:b/>
        </w:rPr>
      </w:pPr>
      <w:r w:rsidRPr="00B75ADB">
        <w:rPr>
          <w:rFonts w:ascii="Calibri" w:hAnsi="Calibri" w:cs="Calibri"/>
          <w:b/>
        </w:rPr>
        <w:t>DPO</w:t>
      </w:r>
    </w:p>
    <w:p w:rsidR="000E5C3B" w:rsidRPr="00B75ADB" w:rsidRDefault="006918BA" w:rsidP="006918B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bude mít nepřetržitě jmenovaného DPO počínaje dnem</w:t>
      </w:r>
      <w:r w:rsidR="00B75ADB" w:rsidRPr="00382F47">
        <w:rPr>
          <w:rFonts w:ascii="Calibri" w:hAnsi="Calibri" w:cs="Calibri"/>
          <w:color w:val="FF0000"/>
        </w:rPr>
        <w:t xml:space="preserve"> </w:t>
      </w:r>
      <w:proofErr w:type="gramStart"/>
      <w:r w:rsidR="00382F47" w:rsidRPr="0023271A">
        <w:rPr>
          <w:rFonts w:ascii="Calibri" w:hAnsi="Calibri" w:cs="Calibri"/>
        </w:rPr>
        <w:t>25.5.2018</w:t>
      </w:r>
      <w:proofErr w:type="gramEnd"/>
      <w:r w:rsidR="00382F47" w:rsidRPr="0023271A">
        <w:rPr>
          <w:rFonts w:ascii="Calibri" w:hAnsi="Calibri" w:cs="Calibri"/>
        </w:rPr>
        <w:t>.</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DPO j</w:t>
      </w:r>
      <w:r w:rsidR="000E5C3B" w:rsidRPr="00B75ADB">
        <w:rPr>
          <w:rFonts w:ascii="Calibri" w:hAnsi="Calibri" w:cs="Calibri"/>
        </w:rPr>
        <w:t xml:space="preserve">e jmenován </w:t>
      </w:r>
      <w:r w:rsidR="006918BA">
        <w:rPr>
          <w:rFonts w:ascii="Calibri" w:hAnsi="Calibri" w:cs="Calibri"/>
        </w:rPr>
        <w:t>Organizací.</w:t>
      </w:r>
    </w:p>
    <w:p w:rsidR="00D543BF" w:rsidRPr="00B75ADB" w:rsidRDefault="006918BA" w:rsidP="005668A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zajistí, aby DPO nedostával žádné pokyny</w:t>
      </w:r>
      <w:r w:rsidR="00D543BF" w:rsidRPr="00B75ADB">
        <w:rPr>
          <w:rFonts w:ascii="Calibri" w:hAnsi="Calibri" w:cs="Calibri"/>
        </w:rPr>
        <w:t xml:space="preserve"> týkající se výkonu jeho úkolů.</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V případě změny DPO pov</w:t>
      </w:r>
      <w:r w:rsidR="00D543BF" w:rsidRPr="00B75ADB">
        <w:rPr>
          <w:rFonts w:ascii="Calibri" w:hAnsi="Calibri" w:cs="Calibri"/>
        </w:rPr>
        <w:t xml:space="preserve">ěří nový DPO vhodné pracovníky </w:t>
      </w:r>
      <w:r w:rsidR="006918BA">
        <w:rPr>
          <w:rFonts w:ascii="Calibri" w:hAnsi="Calibri" w:cs="Calibri"/>
        </w:rPr>
        <w:t>Organizace</w:t>
      </w:r>
      <w:r w:rsidRPr="00B75ADB">
        <w:rPr>
          <w:rFonts w:ascii="Calibri" w:hAnsi="Calibri" w:cs="Calibri"/>
        </w:rPr>
        <w:t>, aby dle požadavků GDPR infor</w:t>
      </w:r>
      <w:r w:rsidR="006918BA">
        <w:rPr>
          <w:rFonts w:ascii="Calibri" w:hAnsi="Calibri" w:cs="Calibri"/>
        </w:rPr>
        <w:t>movali S</w:t>
      </w:r>
      <w:r w:rsidR="00D543BF" w:rsidRPr="00B75ADB">
        <w:rPr>
          <w:rFonts w:ascii="Calibri" w:hAnsi="Calibri" w:cs="Calibri"/>
        </w:rPr>
        <w:t>ubjekty údajů, jejichž O</w:t>
      </w:r>
      <w:r w:rsidRPr="00B75ADB">
        <w:rPr>
          <w:rFonts w:ascii="Calibri" w:hAnsi="Calibri" w:cs="Calibri"/>
        </w:rPr>
        <w:t xml:space="preserve">sobní údaje </w:t>
      </w:r>
      <w:r w:rsidR="006918BA">
        <w:rPr>
          <w:rFonts w:ascii="Calibri" w:hAnsi="Calibri" w:cs="Calibri"/>
        </w:rPr>
        <w:t>Organizace</w:t>
      </w:r>
      <w:r w:rsidRPr="00B75ADB">
        <w:rPr>
          <w:rFonts w:ascii="Calibri" w:hAnsi="Calibri" w:cs="Calibri"/>
        </w:rPr>
        <w:t xml:space="preserve"> zpracovává, o nové osobě DPO a kontaktních údajích na sebe.</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DPO vykonává alespoň tyto úkoly</w:t>
      </w:r>
      <w:r w:rsidR="0020737B">
        <w:rPr>
          <w:rFonts w:ascii="Calibri" w:hAnsi="Calibri" w:cs="Calibri"/>
        </w:rPr>
        <w:t xml:space="preserve"> ve smyslu čl. 39 GDPR</w:t>
      </w:r>
      <w:r w:rsidRPr="00B75ADB">
        <w:rPr>
          <w:rFonts w:ascii="Calibri" w:hAnsi="Calibri" w:cs="Calibri"/>
        </w:rPr>
        <w:t>:</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 xml:space="preserve">poskytování informací a poradenství pracovníkům </w:t>
      </w:r>
      <w:r w:rsidR="00382F47" w:rsidRPr="0023271A">
        <w:rPr>
          <w:rFonts w:ascii="Calibri" w:hAnsi="Calibri" w:cs="Calibri"/>
        </w:rPr>
        <w:t>Organizace</w:t>
      </w:r>
      <w:r w:rsidR="00716B5A">
        <w:rPr>
          <w:rFonts w:ascii="Calibri" w:hAnsi="Calibri" w:cs="Calibri"/>
        </w:rPr>
        <w:t>,</w:t>
      </w:r>
      <w:r w:rsidRPr="0023271A">
        <w:rPr>
          <w:rFonts w:ascii="Calibri" w:hAnsi="Calibri" w:cs="Calibri"/>
        </w:rPr>
        <w:t xml:space="preserve"> kteří provádějí zpracování osobních údajů, o jejich povinnostech podle GDPR a dalších předpisů Unie nebo členských států v oblasti ochrany osobních údajů;</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 xml:space="preserve">monitorování souladu </w:t>
      </w:r>
      <w:r w:rsidR="00382F47" w:rsidRPr="0023271A">
        <w:rPr>
          <w:rFonts w:ascii="Calibri" w:hAnsi="Calibri" w:cs="Calibri"/>
        </w:rPr>
        <w:t>Organizace</w:t>
      </w:r>
      <w:r w:rsidRPr="0023271A">
        <w:rPr>
          <w:rFonts w:ascii="Calibri" w:hAnsi="Calibri" w:cs="Calibri"/>
        </w:rPr>
        <w:t xml:space="preserve"> prováděného zpracování s GDPR, dalšími předpisy Unie nebo členských států v oblasti ochrany osobních údajů a s koncepcemi </w:t>
      </w:r>
      <w:r w:rsidR="00382F47" w:rsidRPr="0023271A">
        <w:rPr>
          <w:rFonts w:ascii="Calibri" w:hAnsi="Calibri" w:cs="Calibri"/>
        </w:rPr>
        <w:t>Organizace</w:t>
      </w:r>
      <w:r w:rsidRPr="0023271A">
        <w:rPr>
          <w:rFonts w:ascii="Calibri" w:hAnsi="Calibri" w:cs="Calibri"/>
        </w:rPr>
        <w:t xml:space="preserve"> v oblasti ochrany osobních údajů, včetně rozdělení odpovědnosti, zvyšování povědomí a odborné přípravy pracovníků zapojených do operací zpracování a souvisejících auditů;</w:t>
      </w:r>
    </w:p>
    <w:p w:rsidR="00D543BF" w:rsidRPr="0023271A" w:rsidRDefault="00B75ADB" w:rsidP="005668AA">
      <w:pPr>
        <w:numPr>
          <w:ilvl w:val="2"/>
          <w:numId w:val="9"/>
        </w:numPr>
        <w:spacing w:line="276" w:lineRule="auto"/>
        <w:ind w:hanging="425"/>
        <w:jc w:val="both"/>
        <w:rPr>
          <w:rFonts w:ascii="Calibri" w:hAnsi="Calibri" w:cs="Calibri"/>
        </w:rPr>
      </w:pPr>
      <w:r w:rsidRPr="0023271A">
        <w:rPr>
          <w:rFonts w:ascii="Calibri" w:hAnsi="Calibri" w:cs="Calibri"/>
        </w:rPr>
        <w:t>poskytování poradenství na požádání, pokud jde o posouzení vlivu na ochranu osobních údajů, a monitorování jeho uplatňování podle článku 35 GDPR;</w:t>
      </w:r>
    </w:p>
    <w:p w:rsidR="00B75ADB" w:rsidRPr="0023271A" w:rsidRDefault="0020737B" w:rsidP="005668AA">
      <w:pPr>
        <w:numPr>
          <w:ilvl w:val="2"/>
          <w:numId w:val="9"/>
        </w:numPr>
        <w:spacing w:line="276" w:lineRule="auto"/>
        <w:ind w:hanging="425"/>
        <w:jc w:val="both"/>
        <w:rPr>
          <w:rFonts w:ascii="Calibri" w:hAnsi="Calibri" w:cs="Calibri"/>
        </w:rPr>
      </w:pPr>
      <w:r w:rsidRPr="0023271A">
        <w:rPr>
          <w:rFonts w:ascii="Calibri" w:hAnsi="Calibri" w:cs="Calibri"/>
        </w:rPr>
        <w:t>s</w:t>
      </w:r>
      <w:r w:rsidR="00B75ADB" w:rsidRPr="0023271A">
        <w:rPr>
          <w:rFonts w:ascii="Calibri" w:hAnsi="Calibri" w:cs="Calibri"/>
        </w:rPr>
        <w:t>polupráce s dozorovým úřadem a působení jako kontaktní místo pro dozorový úřad v záležitostech týkajících se zpracování osobních údajů, včetně předchozí konzultace podle čl. 36 GDPR, a případně vedení konzultací v jakékoli jiné věci.</w:t>
      </w:r>
    </w:p>
    <w:p w:rsidR="00B75ADB" w:rsidRPr="0023271A" w:rsidRDefault="00B75ADB" w:rsidP="00BF0D94">
      <w:pPr>
        <w:spacing w:line="276" w:lineRule="auto"/>
        <w:rPr>
          <w:rFonts w:ascii="Calibri" w:hAnsi="Calibri" w:cs="Calibri"/>
        </w:rPr>
      </w:pPr>
    </w:p>
    <w:p w:rsidR="0020737B" w:rsidRPr="0023271A" w:rsidRDefault="00A228BF" w:rsidP="0023271A">
      <w:pPr>
        <w:numPr>
          <w:ilvl w:val="0"/>
          <w:numId w:val="9"/>
        </w:numPr>
        <w:spacing w:line="276" w:lineRule="auto"/>
        <w:ind w:left="851" w:hanging="851"/>
        <w:jc w:val="both"/>
        <w:rPr>
          <w:rFonts w:ascii="Calibri" w:hAnsi="Calibri" w:cs="Calibri"/>
          <w:b/>
        </w:rPr>
      </w:pPr>
      <w:r w:rsidRPr="0023271A">
        <w:rPr>
          <w:rFonts w:ascii="Calibri" w:hAnsi="Calibri" w:cs="Calibri"/>
          <w:b/>
        </w:rPr>
        <w:t>PŘÍSLUŠNÉ OSOBY</w:t>
      </w:r>
    </w:p>
    <w:p w:rsidR="00A228BF" w:rsidRDefault="00A228BF" w:rsidP="005668AA">
      <w:pPr>
        <w:numPr>
          <w:ilvl w:val="1"/>
          <w:numId w:val="9"/>
        </w:numPr>
        <w:spacing w:line="276" w:lineRule="auto"/>
        <w:ind w:left="709" w:hanging="709"/>
        <w:jc w:val="both"/>
        <w:rPr>
          <w:rFonts w:ascii="Calibri" w:hAnsi="Calibri" w:cs="Calibri"/>
        </w:rPr>
      </w:pPr>
      <w:r>
        <w:rPr>
          <w:rFonts w:ascii="Calibri" w:hAnsi="Calibri" w:cs="Calibri"/>
        </w:rPr>
        <w:t>Agenda Příslušných osob se skládá</w:t>
      </w:r>
      <w:r w:rsidR="00B75ADB" w:rsidRPr="00B75ADB">
        <w:rPr>
          <w:rFonts w:ascii="Calibri" w:hAnsi="Calibri" w:cs="Calibri"/>
        </w:rPr>
        <w:t xml:space="preserve"> zejména </w:t>
      </w:r>
      <w:r>
        <w:rPr>
          <w:rFonts w:ascii="Calibri" w:hAnsi="Calibri" w:cs="Calibri"/>
        </w:rPr>
        <w:t xml:space="preserve">z </w:t>
      </w:r>
      <w:r w:rsidR="00B75ADB" w:rsidRPr="00B75ADB">
        <w:rPr>
          <w:rFonts w:ascii="Calibri" w:hAnsi="Calibri" w:cs="Calibri"/>
        </w:rPr>
        <w:t>prevencí incidentů, zabezpečením zpracování osobních údajů, řešením stížností a žádostí, sprá</w:t>
      </w:r>
      <w:r>
        <w:rPr>
          <w:rFonts w:ascii="Calibri" w:hAnsi="Calibri" w:cs="Calibri"/>
        </w:rPr>
        <w:t>vou systémů a dalšími činnostmi.</w:t>
      </w:r>
    </w:p>
    <w:p w:rsidR="00B75ADB" w:rsidRPr="004D2C2E" w:rsidRDefault="00A228BF" w:rsidP="004D2C2E">
      <w:pPr>
        <w:numPr>
          <w:ilvl w:val="1"/>
          <w:numId w:val="9"/>
        </w:numPr>
        <w:spacing w:line="276" w:lineRule="auto"/>
        <w:ind w:left="709" w:hanging="709"/>
        <w:jc w:val="both"/>
        <w:rPr>
          <w:rFonts w:ascii="Calibri" w:hAnsi="Calibri" w:cs="Calibri"/>
        </w:rPr>
      </w:pPr>
      <w:r>
        <w:rPr>
          <w:rFonts w:ascii="Calibri" w:hAnsi="Calibri" w:cs="Calibri"/>
        </w:rPr>
        <w:t xml:space="preserve">Příslušné osoby </w:t>
      </w:r>
      <w:r w:rsidR="00B75ADB" w:rsidRPr="00B75ADB">
        <w:rPr>
          <w:rFonts w:ascii="Calibri" w:hAnsi="Calibri" w:cs="Calibri"/>
        </w:rPr>
        <w:t>jsou uvedeny v příloze č</w:t>
      </w:r>
      <w:r w:rsidR="00B75ADB" w:rsidRPr="0023271A">
        <w:rPr>
          <w:rFonts w:ascii="Calibri" w:hAnsi="Calibri" w:cs="Calibri"/>
        </w:rPr>
        <w:t xml:space="preserve">. </w:t>
      </w:r>
      <w:r w:rsidR="00382F47" w:rsidRPr="0023271A">
        <w:rPr>
          <w:rFonts w:ascii="Calibri" w:hAnsi="Calibri" w:cs="Calibri"/>
        </w:rPr>
        <w:t xml:space="preserve">1 </w:t>
      </w:r>
      <w:r w:rsidR="00D543BF" w:rsidRPr="0023271A">
        <w:rPr>
          <w:rFonts w:ascii="Calibri" w:hAnsi="Calibri" w:cs="Calibri"/>
        </w:rPr>
        <w:t>této</w:t>
      </w:r>
      <w:r w:rsidR="00D543BF" w:rsidRPr="00B75ADB">
        <w:rPr>
          <w:rFonts w:ascii="Calibri" w:hAnsi="Calibri" w:cs="Calibri"/>
        </w:rPr>
        <w:t xml:space="preserve"> S</w:t>
      </w:r>
      <w:r w:rsidR="004D2C2E">
        <w:rPr>
          <w:rFonts w:ascii="Calibri" w:hAnsi="Calibri" w:cs="Calibri"/>
        </w:rPr>
        <w:t xml:space="preserve">měrnice a </w:t>
      </w:r>
      <w:r w:rsidR="00B75ADB" w:rsidRPr="004D2C2E">
        <w:rPr>
          <w:rFonts w:ascii="Calibri" w:hAnsi="Calibri" w:cs="Calibri"/>
        </w:rPr>
        <w:t xml:space="preserve">obsahuje seznam osob s uvedením </w:t>
      </w:r>
      <w:r w:rsidR="004D2C2E">
        <w:rPr>
          <w:rFonts w:ascii="Calibri" w:hAnsi="Calibri" w:cs="Calibri"/>
        </w:rPr>
        <w:t>rolí.</w:t>
      </w:r>
      <w:r w:rsidR="00176135">
        <w:rPr>
          <w:rFonts w:ascii="Calibri" w:hAnsi="Calibri" w:cs="Calibri"/>
        </w:rPr>
        <w:br/>
      </w:r>
      <w:r w:rsidR="00176135">
        <w:rPr>
          <w:rFonts w:ascii="Calibri" w:hAnsi="Calibri" w:cs="Calibri"/>
        </w:rPr>
        <w:br/>
      </w:r>
      <w:r w:rsidR="00176135">
        <w:rPr>
          <w:rFonts w:ascii="Calibri" w:hAnsi="Calibri" w:cs="Calibri"/>
        </w:rPr>
        <w:br/>
      </w:r>
    </w:p>
    <w:p w:rsidR="00B75ADB" w:rsidRPr="00B75ADB" w:rsidRDefault="00B75ADB" w:rsidP="00BF0D94">
      <w:pPr>
        <w:spacing w:line="276" w:lineRule="auto"/>
        <w:rPr>
          <w:rFonts w:ascii="Calibri" w:hAnsi="Calibri" w:cs="Calibri"/>
        </w:rPr>
      </w:pPr>
    </w:p>
    <w:p w:rsidR="004D2C2E"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lastRenderedPageBreak/>
        <w:t>ZPRÁVA O POSOUZENÍ VLIVŮ</w:t>
      </w:r>
    </w:p>
    <w:p w:rsidR="00607E9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Pokud je pravděpodobné, že určitý druh zpracování, zejména při využití nových technologií, s přihlédnutím k povaze, rozsahu, kontextu a účelům zpracování bude mít za následek vysoké riziko pro práva a svobody subjektů údajů, provede </w:t>
      </w:r>
      <w:r w:rsidR="00607E9B">
        <w:rPr>
          <w:rFonts w:ascii="Calibri" w:hAnsi="Calibri" w:cs="Calibri"/>
        </w:rPr>
        <w:t>Organizace</w:t>
      </w:r>
      <w:r w:rsidRPr="00B75ADB">
        <w:rPr>
          <w:rFonts w:ascii="Calibri" w:hAnsi="Calibri" w:cs="Calibri"/>
        </w:rPr>
        <w:t xml:space="preserve"> před zpracováním posouzení vlivu zamýšlených operací zpraco</w:t>
      </w:r>
      <w:r w:rsidR="00607E9B">
        <w:rPr>
          <w:rFonts w:ascii="Calibri" w:hAnsi="Calibri" w:cs="Calibri"/>
        </w:rPr>
        <w:t>vání na ochranu osobních údajů.</w:t>
      </w:r>
    </w:p>
    <w:p w:rsidR="00D543BF" w:rsidRPr="00B75ADB" w:rsidRDefault="00607E9B" w:rsidP="005668AA">
      <w:pPr>
        <w:numPr>
          <w:ilvl w:val="1"/>
          <w:numId w:val="9"/>
        </w:numPr>
        <w:spacing w:line="276" w:lineRule="auto"/>
        <w:ind w:left="709" w:hanging="709"/>
        <w:jc w:val="both"/>
        <w:rPr>
          <w:rFonts w:ascii="Calibri" w:hAnsi="Calibri" w:cs="Calibri"/>
        </w:rPr>
      </w:pPr>
      <w:r>
        <w:rPr>
          <w:rFonts w:ascii="Calibri" w:hAnsi="Calibri" w:cs="Calibri"/>
        </w:rPr>
        <w:t>Zpráva o posouzení vlivů se zpracovává</w:t>
      </w:r>
      <w:r w:rsidR="00B75ADB" w:rsidRPr="00B75ADB">
        <w:rPr>
          <w:rFonts w:ascii="Calibri" w:hAnsi="Calibri" w:cs="Calibri"/>
        </w:rPr>
        <w:t xml:space="preserve"> dle čl. 35 a násl. GDPR. Pro soubor podobných operací zpracování, kt</w:t>
      </w:r>
      <w:r>
        <w:rPr>
          <w:rFonts w:ascii="Calibri" w:hAnsi="Calibri" w:cs="Calibri"/>
        </w:rPr>
        <w:t>eré představují podobné riziko</w:t>
      </w:r>
      <w:r w:rsidR="00716B5A">
        <w:rPr>
          <w:rFonts w:ascii="Calibri" w:hAnsi="Calibri" w:cs="Calibri"/>
        </w:rPr>
        <w:t>,</w:t>
      </w:r>
      <w:r>
        <w:rPr>
          <w:rFonts w:ascii="Calibri" w:hAnsi="Calibri" w:cs="Calibri"/>
        </w:rPr>
        <w:t xml:space="preserve"> stačí </w:t>
      </w:r>
      <w:r w:rsidR="00B75ADB" w:rsidRPr="00B75ADB">
        <w:rPr>
          <w:rFonts w:ascii="Calibri" w:hAnsi="Calibri" w:cs="Calibri"/>
        </w:rPr>
        <w:t>jedno posouzení.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Posouzení vlivu se zpracuje vždy pro:</w:t>
      </w:r>
    </w:p>
    <w:p w:rsidR="00D543BF" w:rsidRPr="00B75ADB" w:rsidRDefault="00B75ADB" w:rsidP="00B35DA1">
      <w:pPr>
        <w:numPr>
          <w:ilvl w:val="2"/>
          <w:numId w:val="9"/>
        </w:numPr>
        <w:spacing w:line="276" w:lineRule="auto"/>
        <w:ind w:hanging="425"/>
        <w:jc w:val="both"/>
        <w:rPr>
          <w:rFonts w:ascii="Calibri" w:hAnsi="Calibri" w:cs="Calibri"/>
        </w:rPr>
      </w:pPr>
      <w:r w:rsidRPr="00B75ADB">
        <w:rPr>
          <w:rFonts w:ascii="Calibri" w:hAnsi="Calibri" w:cs="Calibri"/>
        </w:rPr>
        <w:t>systematické a rozsáhlé vyhodnocování osobních aspektů týkajících se fyzických osob, které je založeno na automatizovaném zpracování, včetně profilování, a na němž se zakládají rozhodnutí, která vyvolávají ve vztahu k fyzickým osobám právní účinky nebo mají na fyzické osoby podobně závažný dopad;</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rozsáhlé zpracování zvláštních kategorií údajů uvedených v čl. 9 odst. 1 nebo osobních údajů týkajících se rozsudků v trestních věcech a trestných činů uvedených v čl. 10 GDPR; nebo</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rozsáhlé systematické monitorování veřejně přístupných prostorů.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Posouzení obsahuje alespoň:</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 xml:space="preserve">systematický popis zamýšlených operací zpracování a účely zpracování, případně včetně oprávněných zájmů </w:t>
      </w:r>
      <w:r w:rsidR="00382F47" w:rsidRPr="0023271A">
        <w:rPr>
          <w:rFonts w:ascii="Calibri" w:hAnsi="Calibri" w:cs="Calibri"/>
        </w:rPr>
        <w:t>Organizace</w:t>
      </w:r>
      <w:r w:rsidRPr="0023271A">
        <w:rPr>
          <w:rFonts w:ascii="Calibri" w:hAnsi="Calibri" w:cs="Calibri"/>
        </w:rPr>
        <w:t>;</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posouzení nezbytnosti a přiměřenosti operací zpracování z hlediska účelů;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posouzení rizik pro práva a svobody subjektů údajů; a</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plánovaná opatření k řešení těchto rizik, včetně záruk, bezpečnostních opatření a mechanismů k zajištění ochrany osobních údajů a k doložení souladu. </w:t>
      </w:r>
    </w:p>
    <w:p w:rsidR="00D543BF" w:rsidRPr="00B75ADB" w:rsidRDefault="00607E9B" w:rsidP="005668AA">
      <w:pPr>
        <w:numPr>
          <w:ilvl w:val="1"/>
          <w:numId w:val="9"/>
        </w:numPr>
        <w:spacing w:line="276" w:lineRule="auto"/>
        <w:ind w:left="709" w:hanging="709"/>
        <w:jc w:val="both"/>
        <w:rPr>
          <w:rFonts w:ascii="Calibri" w:hAnsi="Calibri" w:cs="Calibri"/>
        </w:rPr>
      </w:pPr>
      <w:r>
        <w:rPr>
          <w:rFonts w:ascii="Calibri" w:hAnsi="Calibri" w:cs="Calibri"/>
        </w:rPr>
        <w:t>Organizace</w:t>
      </w:r>
      <w:r w:rsidR="00B75ADB" w:rsidRPr="00B75ADB">
        <w:rPr>
          <w:rFonts w:ascii="Calibri" w:hAnsi="Calibri" w:cs="Calibri"/>
        </w:rPr>
        <w:t xml:space="preserve"> si vždy vyžádá posudek D</w:t>
      </w:r>
      <w:r w:rsidR="00D543BF" w:rsidRPr="00B75ADB">
        <w:rPr>
          <w:rFonts w:ascii="Calibri" w:hAnsi="Calibri" w:cs="Calibri"/>
        </w:rPr>
        <w:t>PO ke zprávě o posouzení vlivů.</w:t>
      </w:r>
    </w:p>
    <w:p w:rsidR="00B35DA1" w:rsidRDefault="00B75ADB" w:rsidP="005668AA">
      <w:pPr>
        <w:numPr>
          <w:ilvl w:val="1"/>
          <w:numId w:val="9"/>
        </w:numPr>
        <w:spacing w:line="276" w:lineRule="auto"/>
        <w:ind w:left="709" w:hanging="709"/>
        <w:jc w:val="both"/>
        <w:rPr>
          <w:rFonts w:ascii="Calibri" w:hAnsi="Calibri" w:cs="Calibri"/>
        </w:rPr>
      </w:pPr>
      <w:r w:rsidRPr="00B35DA1">
        <w:rPr>
          <w:rFonts w:ascii="Calibri" w:hAnsi="Calibri" w:cs="Calibri"/>
        </w:rPr>
        <w:t>Pokud ze zprávy o posouzení vlivů vyplývá, že by předmětné zpracování osobních údajů mělo za následek vysoké riziko pro práva a svobody s</w:t>
      </w:r>
      <w:r w:rsidR="00B35DA1" w:rsidRPr="00B35DA1">
        <w:rPr>
          <w:rFonts w:ascii="Calibri" w:hAnsi="Calibri" w:cs="Calibri"/>
        </w:rPr>
        <w:t>ubjektů údajů v případě, že by S</w:t>
      </w:r>
      <w:r w:rsidRPr="00B35DA1">
        <w:rPr>
          <w:rFonts w:ascii="Calibri" w:hAnsi="Calibri" w:cs="Calibri"/>
        </w:rPr>
        <w:t xml:space="preserve">právce nepřijal opatření ke zmírnění tohoto rizika, </w:t>
      </w:r>
      <w:r w:rsidR="00B35DA1" w:rsidRPr="00B35DA1">
        <w:rPr>
          <w:rFonts w:ascii="Calibri" w:hAnsi="Calibri" w:cs="Calibri"/>
        </w:rPr>
        <w:t>Organizace</w:t>
      </w:r>
      <w:r w:rsidRPr="00B35DA1">
        <w:rPr>
          <w:rFonts w:ascii="Calibri" w:hAnsi="Calibri" w:cs="Calibri"/>
        </w:rPr>
        <w:t xml:space="preserve"> konzult</w:t>
      </w:r>
      <w:r w:rsidR="00B35DA1" w:rsidRPr="00B35DA1">
        <w:rPr>
          <w:rFonts w:ascii="Calibri" w:hAnsi="Calibri" w:cs="Calibri"/>
        </w:rPr>
        <w:t>uje zprávu o posouzení vlivů s D</w:t>
      </w:r>
      <w:r w:rsidRPr="00B35DA1">
        <w:rPr>
          <w:rFonts w:ascii="Calibri" w:hAnsi="Calibri" w:cs="Calibri"/>
        </w:rPr>
        <w:t xml:space="preserve">ozorovým úřadem. </w:t>
      </w:r>
    </w:p>
    <w:p w:rsidR="00B75ADB" w:rsidRPr="00B75ADB" w:rsidRDefault="00B75ADB" w:rsidP="00BF0D94">
      <w:pPr>
        <w:spacing w:line="276" w:lineRule="auto"/>
        <w:rPr>
          <w:rFonts w:ascii="Calibri" w:hAnsi="Calibri" w:cs="Calibri"/>
        </w:rPr>
      </w:pPr>
    </w:p>
    <w:p w:rsidR="00B35DA1"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t>KOMUNIKACE SE SUBJEKTY ÚDAJŮ</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Pracovník, který obdržel v jakékoliv formě jakoukoliv žádost či stížnost fyzické osoby, která se týká nebo by se mohla týkat ochrany osobních údajů, zejména žádosti ve smyslu čl. </w:t>
      </w:r>
      <w:r w:rsidR="00D543BF" w:rsidRPr="00B75ADB">
        <w:rPr>
          <w:rFonts w:ascii="Calibri" w:hAnsi="Calibri" w:cs="Calibri"/>
        </w:rPr>
        <w:t>15–22</w:t>
      </w:r>
      <w:r w:rsidR="00B35DA1">
        <w:rPr>
          <w:rFonts w:ascii="Calibri" w:hAnsi="Calibri" w:cs="Calibri"/>
        </w:rPr>
        <w:t xml:space="preserve"> GDPR, oznámí tuto skutečnost P</w:t>
      </w:r>
      <w:r w:rsidRPr="00B75ADB">
        <w:rPr>
          <w:rFonts w:ascii="Calibri" w:hAnsi="Calibri" w:cs="Calibri"/>
        </w:rPr>
        <w:t xml:space="preserve">říslušné osobě. </w:t>
      </w:r>
    </w:p>
    <w:p w:rsidR="001371C1"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Pokud se osobní údaje týkající se subjektu údajů získávají od subjektu údajů, poskytne pověřená osoba v okamžiku získání osobních údajů subjektu údajů informace dle čl. 13 GDPR, v případě, že osobní údaje nebyly získány od subjektu údajů, poskytne pověřená osoba tyto informace v souladu s čl. 14 odst. 3 GDPR.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Povinnost poskytnout uvedené informace lze splnit odkazem na zásady ochrany osobních údajů </w:t>
      </w:r>
      <w:r w:rsidR="001371C1">
        <w:rPr>
          <w:rFonts w:ascii="Calibri" w:hAnsi="Calibri" w:cs="Calibri"/>
        </w:rPr>
        <w:t xml:space="preserve">Organizace </w:t>
      </w:r>
      <w:r w:rsidRPr="0023271A">
        <w:rPr>
          <w:rFonts w:ascii="Calibri" w:hAnsi="Calibri" w:cs="Calibri"/>
        </w:rPr>
        <w:t xml:space="preserve">dostupné na </w:t>
      </w:r>
      <w:r w:rsidR="00382F47" w:rsidRPr="0023271A">
        <w:rPr>
          <w:rFonts w:ascii="Calibri" w:hAnsi="Calibri" w:cs="Calibri"/>
        </w:rPr>
        <w:t xml:space="preserve">internetové </w:t>
      </w:r>
      <w:r w:rsidRPr="0023271A">
        <w:rPr>
          <w:rFonts w:ascii="Calibri" w:hAnsi="Calibri" w:cs="Calibri"/>
        </w:rPr>
        <w:t xml:space="preserve">adrese </w:t>
      </w:r>
      <w:r w:rsidR="00382F47" w:rsidRPr="0023271A">
        <w:rPr>
          <w:rFonts w:ascii="Calibri" w:hAnsi="Calibri" w:cs="Calibri"/>
        </w:rPr>
        <w:t xml:space="preserve">Organizace </w:t>
      </w:r>
      <w:r w:rsidR="00176135" w:rsidRPr="00176135">
        <w:rPr>
          <w:rFonts w:ascii="Calibri" w:hAnsi="Calibri" w:cs="Calibri"/>
        </w:rPr>
        <w:t>http://www.menhartice.cz</w:t>
      </w:r>
    </w:p>
    <w:p w:rsidR="00D543BF"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lastRenderedPageBreak/>
        <w:t xml:space="preserve">Příslušná osoba vyřizuje požadavky subjektů údajů v souladu s obecnými pokyny </w:t>
      </w:r>
      <w:r w:rsidR="001371C1">
        <w:rPr>
          <w:rFonts w:ascii="Calibri" w:hAnsi="Calibri" w:cs="Calibri"/>
        </w:rPr>
        <w:t>Organizace</w:t>
      </w:r>
      <w:r w:rsidRPr="00B75ADB">
        <w:rPr>
          <w:rFonts w:ascii="Calibri" w:hAnsi="Calibri" w:cs="Calibri"/>
        </w:rPr>
        <w:t>, bez zbytečného odkladu</w:t>
      </w:r>
      <w:r w:rsidR="001371C1">
        <w:rPr>
          <w:rFonts w:ascii="Calibri" w:hAnsi="Calibri" w:cs="Calibri"/>
        </w:rPr>
        <w:t>, nejdéle však do 1 měsíce</w:t>
      </w:r>
      <w:r w:rsidRPr="00B75ADB">
        <w:rPr>
          <w:rFonts w:ascii="Calibri" w:hAnsi="Calibri" w:cs="Calibri"/>
        </w:rPr>
        <w:t xml:space="preserve">, a aby mu byly k vyřízení jeho žádosti poskytnuty veškeré informace a v případě, že žádosti nebylo vyhověno, aby byly sděleny důvody tohoto rozhodnutí. </w:t>
      </w:r>
    </w:p>
    <w:p w:rsidR="001371C1" w:rsidRPr="001371C1" w:rsidRDefault="001371C1" w:rsidP="001371C1">
      <w:pPr>
        <w:numPr>
          <w:ilvl w:val="1"/>
          <w:numId w:val="9"/>
        </w:numPr>
        <w:spacing w:line="276" w:lineRule="auto"/>
        <w:ind w:left="709" w:hanging="709"/>
        <w:jc w:val="both"/>
        <w:rPr>
          <w:rFonts w:ascii="Calibri" w:hAnsi="Calibri" w:cs="Calibri"/>
        </w:rPr>
      </w:pPr>
      <w:r w:rsidRPr="00B75ADB">
        <w:rPr>
          <w:rFonts w:ascii="Calibri" w:hAnsi="Calibri" w:cs="Calibri"/>
        </w:rPr>
        <w:t>P</w:t>
      </w:r>
      <w:r>
        <w:rPr>
          <w:rFonts w:ascii="Calibri" w:hAnsi="Calibri" w:cs="Calibri"/>
        </w:rPr>
        <w:t>okud není možné dodržet lhůtu, P</w:t>
      </w:r>
      <w:r w:rsidRPr="00B75ADB">
        <w:rPr>
          <w:rFonts w:ascii="Calibri" w:hAnsi="Calibri" w:cs="Calibri"/>
        </w:rPr>
        <w:t>říslušná osoba tuto skutečnost okamžitě ozn</w:t>
      </w:r>
      <w:r>
        <w:rPr>
          <w:rFonts w:ascii="Calibri" w:hAnsi="Calibri" w:cs="Calibri"/>
        </w:rPr>
        <w:t xml:space="preserve">ámí nadřízenému zaměstnanci nebo </w:t>
      </w:r>
      <w:r w:rsidRPr="00B75ADB">
        <w:rPr>
          <w:rFonts w:ascii="Calibri" w:hAnsi="Calibri" w:cs="Calibri"/>
        </w:rPr>
        <w:t>DPO, včetně uvedení důvodu, proč není možné lhůtu dodržet, a vyžádá si konzultace, jak správně postupovat dále.</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Neexistuje-li obecný pokyn </w:t>
      </w:r>
      <w:r w:rsidR="001371C1">
        <w:rPr>
          <w:rFonts w:ascii="Calibri" w:hAnsi="Calibri" w:cs="Calibri"/>
        </w:rPr>
        <w:t xml:space="preserve">Organizace </w:t>
      </w:r>
      <w:r w:rsidRPr="00B75ADB">
        <w:rPr>
          <w:rFonts w:ascii="Calibri" w:hAnsi="Calibri" w:cs="Calibri"/>
        </w:rPr>
        <w:t>k řešení konkrétního požadavku, vyžádá si přísluš</w:t>
      </w:r>
      <w:r w:rsidR="00D543BF" w:rsidRPr="00B75ADB">
        <w:rPr>
          <w:rFonts w:ascii="Calibri" w:hAnsi="Calibri" w:cs="Calibri"/>
        </w:rPr>
        <w:t>ná pověřená osoba pokyn od DPO.</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Ověřování identity subjektu údajů bude prováděno vždy přiměřeným způsobem, který zaručí dostatečnou identifikaci subjektu údajů s ohledem na formu podání, využitý komunikační prostředek a obsah žádosti subjektu údajů.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V případě žádosti subjektu údajů o přístup k osobním údajům poskytne příslušná pověřená osoba subjektu údajů nejméně informaci, zda osobní údaje, které se subjektu údajů týkají, jsou či nejsou zpracovávány, a pokud je tomu tak, poskytne mu osobní údaje subjektu údajů a informace o:</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účelu jejich zpracování;</w:t>
      </w:r>
    </w:p>
    <w:p w:rsidR="00D543BF" w:rsidRPr="00B75ADB" w:rsidRDefault="00B75ADB" w:rsidP="005668AA">
      <w:pPr>
        <w:numPr>
          <w:ilvl w:val="2"/>
          <w:numId w:val="9"/>
        </w:numPr>
        <w:spacing w:line="276" w:lineRule="auto"/>
        <w:ind w:hanging="425"/>
        <w:jc w:val="both"/>
        <w:rPr>
          <w:rFonts w:ascii="Calibri" w:hAnsi="Calibri" w:cs="Calibri"/>
        </w:rPr>
      </w:pPr>
      <w:proofErr w:type="gramStart"/>
      <w:r w:rsidRPr="00B75ADB">
        <w:rPr>
          <w:rFonts w:ascii="Calibri" w:hAnsi="Calibri" w:cs="Calibri"/>
        </w:rPr>
        <w:t>kategoriích</w:t>
      </w:r>
      <w:proofErr w:type="gramEnd"/>
      <w:r w:rsidRPr="00B75ADB">
        <w:rPr>
          <w:rFonts w:ascii="Calibri" w:hAnsi="Calibri" w:cs="Calibri"/>
        </w:rPr>
        <w:t xml:space="preserve"> dotčených osobních údajů;</w:t>
      </w:r>
    </w:p>
    <w:p w:rsidR="00D543BF" w:rsidRPr="00B75ADB" w:rsidRDefault="00B75ADB" w:rsidP="005668AA">
      <w:pPr>
        <w:numPr>
          <w:ilvl w:val="2"/>
          <w:numId w:val="9"/>
        </w:numPr>
        <w:spacing w:line="276" w:lineRule="auto"/>
        <w:ind w:hanging="425"/>
        <w:jc w:val="both"/>
        <w:rPr>
          <w:rFonts w:ascii="Calibri" w:hAnsi="Calibri" w:cs="Calibri"/>
        </w:rPr>
      </w:pPr>
      <w:proofErr w:type="gramStart"/>
      <w:r w:rsidRPr="00B75ADB">
        <w:rPr>
          <w:rFonts w:ascii="Calibri" w:hAnsi="Calibri" w:cs="Calibri"/>
        </w:rPr>
        <w:t>příjemcích</w:t>
      </w:r>
      <w:proofErr w:type="gramEnd"/>
      <w:r w:rsidRPr="00B75ADB">
        <w:rPr>
          <w:rFonts w:ascii="Calibri" w:hAnsi="Calibri" w:cs="Calibri"/>
        </w:rPr>
        <w:t xml:space="preserve"> nebo kategoriích příjemců, kterým osobní údaje byly nebo budou zpřístupněny, zejména příjemcích ve třetích zemích nebo v mezinárodních organizacích;</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plánované době, po kterou budou osobní údaje uloženy, nebo není-li ji možné určit, kritériích použitých ke stanovení této doby;</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existenci práva požadovat od společnosti opravu nebo výmaz osobních údajů týkajících se subjektu údajů nebo omezení jejich zpracování anebo vznést námitku proti tomuto zpracování;</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právu podat stížnost u dozorového úřadu;</w:t>
      </w:r>
      <w:bookmarkStart w:id="0" w:name="_GoBack"/>
      <w:bookmarkEnd w:id="0"/>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 xml:space="preserve">veškerých dostupných </w:t>
      </w:r>
      <w:proofErr w:type="gramStart"/>
      <w:r w:rsidRPr="00B75ADB">
        <w:rPr>
          <w:rFonts w:ascii="Calibri" w:hAnsi="Calibri" w:cs="Calibri"/>
        </w:rPr>
        <w:t>informacích</w:t>
      </w:r>
      <w:proofErr w:type="gramEnd"/>
      <w:r w:rsidRPr="00B75ADB">
        <w:rPr>
          <w:rFonts w:ascii="Calibri" w:hAnsi="Calibri" w:cs="Calibri"/>
        </w:rPr>
        <w:t xml:space="preserve"> o zdroji osobních údajů, pokud nejsou získány od subjektu údajů;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skutečnosti, že dochází k automatizovanému rozhodování, včetně profilování, a přinejmenším v těchto případech smysluplné informace týkající se použitého postupu, jakož i významu a předpokládaných důsledků takového zpracování pro subjekt údajů.</w:t>
      </w:r>
    </w:p>
    <w:p w:rsidR="00D543BF" w:rsidRPr="0023271A"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Informace podle tohoto článku poskytuje </w:t>
      </w:r>
      <w:r w:rsidR="00382F47" w:rsidRPr="0023271A">
        <w:rPr>
          <w:rFonts w:ascii="Calibri" w:hAnsi="Calibri" w:cs="Calibri"/>
        </w:rPr>
        <w:t>Organizace</w:t>
      </w:r>
      <w:r w:rsidRPr="0023271A">
        <w:rPr>
          <w:rFonts w:ascii="Calibri" w:hAnsi="Calibri" w:cs="Calibri"/>
        </w:rPr>
        <w:t xml:space="preserve"> subjektu údajů ve stejné formě, v jaké o informace subjekt údajů požádal.</w:t>
      </w:r>
    </w:p>
    <w:p w:rsidR="00B75ADB" w:rsidRDefault="00B75ADB" w:rsidP="00BF0D94">
      <w:pPr>
        <w:numPr>
          <w:ilvl w:val="1"/>
          <w:numId w:val="9"/>
        </w:numPr>
        <w:spacing w:line="276" w:lineRule="auto"/>
        <w:ind w:left="709" w:hanging="709"/>
        <w:jc w:val="both"/>
        <w:rPr>
          <w:rFonts w:ascii="Calibri" w:hAnsi="Calibri" w:cs="Calibri"/>
        </w:rPr>
      </w:pPr>
      <w:r w:rsidRPr="0023271A">
        <w:rPr>
          <w:rFonts w:ascii="Calibri" w:hAnsi="Calibri" w:cs="Calibri"/>
        </w:rPr>
        <w:t xml:space="preserve">V případě opakovaných žádostí subjektu údajů je subjektu údajů účtováno </w:t>
      </w:r>
      <w:r w:rsidR="00382F47" w:rsidRPr="0023271A">
        <w:rPr>
          <w:rFonts w:ascii="Calibri" w:hAnsi="Calibri" w:cs="Calibri"/>
        </w:rPr>
        <w:t>500,-</w:t>
      </w:r>
      <w:r w:rsidRPr="0023271A">
        <w:rPr>
          <w:rFonts w:ascii="Calibri" w:hAnsi="Calibri" w:cs="Calibri"/>
        </w:rPr>
        <w:t xml:space="preserve"> Kč za</w:t>
      </w:r>
      <w:r w:rsidRPr="00B75ADB">
        <w:rPr>
          <w:rFonts w:ascii="Calibri" w:hAnsi="Calibri" w:cs="Calibri"/>
        </w:rPr>
        <w:t xml:space="preserve"> každou opakovanou žádost.</w:t>
      </w:r>
    </w:p>
    <w:p w:rsidR="00A023BC" w:rsidRPr="00A023BC" w:rsidRDefault="00A023BC" w:rsidP="00A023BC">
      <w:pPr>
        <w:spacing w:line="276" w:lineRule="auto"/>
        <w:ind w:left="709"/>
        <w:jc w:val="both"/>
        <w:rPr>
          <w:rFonts w:ascii="Calibri" w:hAnsi="Calibri" w:cs="Calibri"/>
        </w:rPr>
      </w:pPr>
    </w:p>
    <w:p w:rsidR="00A023BC" w:rsidRPr="0023271A" w:rsidRDefault="00D543BF" w:rsidP="0023271A">
      <w:pPr>
        <w:numPr>
          <w:ilvl w:val="0"/>
          <w:numId w:val="9"/>
        </w:numPr>
        <w:spacing w:line="276" w:lineRule="auto"/>
        <w:ind w:left="709" w:hanging="709"/>
        <w:jc w:val="both"/>
        <w:rPr>
          <w:rFonts w:ascii="Calibri" w:hAnsi="Calibri" w:cs="Calibri"/>
          <w:b/>
        </w:rPr>
      </w:pPr>
      <w:r w:rsidRPr="00B75ADB">
        <w:rPr>
          <w:rFonts w:ascii="Calibri" w:hAnsi="Calibri" w:cs="Calibri"/>
          <w:b/>
        </w:rPr>
        <w:t>OZNAMOVÁNÍ PŘÍPADŮ PORUŠENÍ ZABEZPEČENÍ OSOBNÍCH ÚDAJŮ</w:t>
      </w:r>
      <w:r w:rsidR="00950BA1">
        <w:rPr>
          <w:rFonts w:ascii="Calibri" w:hAnsi="Calibri" w:cs="Calibri"/>
          <w:b/>
        </w:rPr>
        <w:t xml:space="preserve"> A POSTUP PRO ŘEŠENÍ BEZPEČNOSTNÍCH INCIDENTŮ</w:t>
      </w:r>
    </w:p>
    <w:p w:rsidR="00A023BC"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Jakékoli porušení zabezpečení osobních údajů dle ustanovení čl. 4 odst. 12 GDPR společnost bez zbytečného odkladu a pokud možno do 72 hodin od okamžiku, kdy se </w:t>
      </w:r>
      <w:r w:rsidRPr="00B75ADB">
        <w:rPr>
          <w:rFonts w:ascii="Calibri" w:hAnsi="Calibri" w:cs="Calibri"/>
        </w:rPr>
        <w:lastRenderedPageBreak/>
        <w:t xml:space="preserve">o něm dozvěděla, ohlásí dozorovému úřadu, ledaže je nepravděpodobné, že by toto porušení mělo za následek riziko pro práva a svobody fyzických osob.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Pokud není ohlášení dozorovému úřadu učiněno do 72 hodin, musí být současně s ním uvedeny důvody tohoto zpoždění.</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Ohlášení dozorovému úřadu se děje prostřednictvím aplikace datové schránky.</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 xml:space="preserve">Veškeré případy porušení zabezpečení osobních údajů společnost oznámí a konzultuje s DPO. </w:t>
      </w:r>
    </w:p>
    <w:p w:rsidR="00D543BF" w:rsidRPr="00B75ADB" w:rsidRDefault="00B75ADB" w:rsidP="005668AA">
      <w:pPr>
        <w:numPr>
          <w:ilvl w:val="1"/>
          <w:numId w:val="9"/>
        </w:numPr>
        <w:spacing w:line="276" w:lineRule="auto"/>
        <w:ind w:left="709" w:hanging="709"/>
        <w:jc w:val="both"/>
        <w:rPr>
          <w:rFonts w:ascii="Calibri" w:hAnsi="Calibri" w:cs="Calibri"/>
        </w:rPr>
      </w:pPr>
      <w:r w:rsidRPr="00B75ADB">
        <w:rPr>
          <w:rFonts w:ascii="Calibri" w:hAnsi="Calibri" w:cs="Calibri"/>
        </w:rPr>
        <w:t>Ohlášení dozorovému úřadu podle tohoto článku musí přinejmenším obsahovat:</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popis povahy daného případu porušení zabezpečení osobních údajů včetně, pokud je to možné, kategorií a přibližného počtu dotčených subjektů údajů a kategorií a přibližného množství dotčených záznamů osobních údajů;</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jméno a kontaktní údaje DPO nebo jiného kontaktního místa, které může poskytnout bližší informace;</w:t>
      </w:r>
    </w:p>
    <w:p w:rsidR="00D543BF" w:rsidRPr="00B75ADB"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popis pravděpodobných důsledků porušení zabezpečení osobních údajů;</w:t>
      </w:r>
    </w:p>
    <w:p w:rsidR="00D543BF" w:rsidRPr="0023271A" w:rsidRDefault="00B75ADB" w:rsidP="005668AA">
      <w:pPr>
        <w:numPr>
          <w:ilvl w:val="2"/>
          <w:numId w:val="9"/>
        </w:numPr>
        <w:spacing w:line="276" w:lineRule="auto"/>
        <w:ind w:hanging="425"/>
        <w:jc w:val="both"/>
        <w:rPr>
          <w:rFonts w:ascii="Calibri" w:hAnsi="Calibri" w:cs="Calibri"/>
        </w:rPr>
      </w:pPr>
      <w:r w:rsidRPr="00B75ADB">
        <w:rPr>
          <w:rFonts w:ascii="Calibri" w:hAnsi="Calibri" w:cs="Calibri"/>
        </w:rPr>
        <w:t xml:space="preserve">popis opatření, která </w:t>
      </w:r>
      <w:r w:rsidR="00382F47" w:rsidRPr="0023271A">
        <w:rPr>
          <w:rFonts w:ascii="Calibri" w:hAnsi="Calibri" w:cs="Calibri"/>
        </w:rPr>
        <w:t>Organizace</w:t>
      </w:r>
      <w:r w:rsidRPr="0023271A">
        <w:rPr>
          <w:rFonts w:ascii="Calibri" w:hAnsi="Calibri" w:cs="Calibri"/>
        </w:rPr>
        <w:t xml:space="preserve"> přijala nebo navrhla k přijetí s cílem vyřešit dané porušení zabezpečení osobních údajů, včetně případných opatření ke zmírnění možných nepříznivých dopadů.</w:t>
      </w:r>
    </w:p>
    <w:p w:rsidR="00D543BF" w:rsidRPr="0023271A" w:rsidRDefault="00B75ADB" w:rsidP="005668AA">
      <w:pPr>
        <w:numPr>
          <w:ilvl w:val="1"/>
          <w:numId w:val="9"/>
        </w:numPr>
        <w:spacing w:line="276" w:lineRule="auto"/>
        <w:ind w:left="709" w:hanging="709"/>
        <w:jc w:val="both"/>
        <w:rPr>
          <w:rFonts w:ascii="Calibri" w:hAnsi="Calibri" w:cs="Calibri"/>
        </w:rPr>
      </w:pPr>
      <w:r w:rsidRPr="0023271A">
        <w:rPr>
          <w:rFonts w:ascii="Calibri" w:hAnsi="Calibri" w:cs="Calibri"/>
        </w:rPr>
        <w:t xml:space="preserve">Pokud je pravděpodobné, že určitý případ porušení zabezpečení osobních údajů bude mít za následek vysoké riziko pro práva a svobody fyzických osob, oznámí </w:t>
      </w:r>
      <w:r w:rsidR="00382F47" w:rsidRPr="0023271A">
        <w:rPr>
          <w:rFonts w:ascii="Calibri" w:hAnsi="Calibri" w:cs="Calibri"/>
        </w:rPr>
        <w:t xml:space="preserve">Organizace </w:t>
      </w:r>
      <w:r w:rsidRPr="0023271A">
        <w:rPr>
          <w:rFonts w:ascii="Calibri" w:hAnsi="Calibri" w:cs="Calibri"/>
        </w:rPr>
        <w:t>toto porušení bez zbytečného odkladu subjektu údajů. </w:t>
      </w:r>
    </w:p>
    <w:p w:rsidR="00950BA1" w:rsidRPr="0023271A" w:rsidRDefault="00B75ADB" w:rsidP="00950BA1">
      <w:pPr>
        <w:numPr>
          <w:ilvl w:val="1"/>
          <w:numId w:val="9"/>
        </w:numPr>
        <w:spacing w:line="276" w:lineRule="auto"/>
        <w:ind w:left="709" w:hanging="709"/>
        <w:jc w:val="both"/>
        <w:rPr>
          <w:rFonts w:ascii="Calibri" w:hAnsi="Calibri" w:cs="Calibri"/>
        </w:rPr>
      </w:pPr>
      <w:r w:rsidRPr="0023271A">
        <w:rPr>
          <w:rFonts w:ascii="Calibri" w:hAnsi="Calibri" w:cs="Calibri"/>
        </w:rPr>
        <w:t xml:space="preserve">Pracovníci hlásí případy porušení zabezpečení </w:t>
      </w:r>
      <w:r w:rsidR="00A023BC" w:rsidRPr="0023271A">
        <w:rPr>
          <w:rFonts w:ascii="Calibri" w:hAnsi="Calibri" w:cs="Calibri"/>
        </w:rPr>
        <w:t>Příslušným osobám.</w:t>
      </w:r>
    </w:p>
    <w:p w:rsidR="00950BA1" w:rsidRPr="00950BA1" w:rsidRDefault="00382F47" w:rsidP="00950BA1">
      <w:pPr>
        <w:numPr>
          <w:ilvl w:val="1"/>
          <w:numId w:val="9"/>
        </w:numPr>
        <w:spacing w:line="276" w:lineRule="auto"/>
        <w:ind w:left="709" w:hanging="709"/>
        <w:jc w:val="both"/>
        <w:rPr>
          <w:rFonts w:ascii="Calibri" w:hAnsi="Calibri" w:cs="Calibri"/>
        </w:rPr>
      </w:pPr>
      <w:r w:rsidRPr="0023271A">
        <w:rPr>
          <w:rFonts w:ascii="Calibri" w:hAnsi="Calibri" w:cs="Calibri"/>
        </w:rPr>
        <w:t>Organizace</w:t>
      </w:r>
      <w:r w:rsidR="00950BA1" w:rsidRPr="0023271A">
        <w:rPr>
          <w:rFonts w:ascii="Calibri" w:hAnsi="Calibri" w:cs="Calibri"/>
        </w:rPr>
        <w:t xml:space="preserve"> přijme opatření k zabránění opakovaného</w:t>
      </w:r>
      <w:r w:rsidR="00950BA1" w:rsidRPr="00950BA1">
        <w:rPr>
          <w:rFonts w:ascii="Calibri" w:hAnsi="Calibri" w:cs="Calibri"/>
        </w:rPr>
        <w:t xml:space="preserve"> porušení zabezpečení osobních údajů obdobného charakteru.</w:t>
      </w:r>
    </w:p>
    <w:p w:rsidR="00CE5912" w:rsidRPr="00B75ADB" w:rsidRDefault="00CE5912" w:rsidP="00CE5912">
      <w:pPr>
        <w:spacing w:line="276" w:lineRule="auto"/>
        <w:ind w:left="709"/>
        <w:jc w:val="both"/>
        <w:rPr>
          <w:rFonts w:ascii="Calibri" w:hAnsi="Calibri" w:cs="Calibri"/>
          <w:b/>
        </w:rPr>
      </w:pPr>
    </w:p>
    <w:p w:rsidR="00743BC8" w:rsidRPr="0023271A" w:rsidRDefault="00CE5912" w:rsidP="0023271A">
      <w:pPr>
        <w:numPr>
          <w:ilvl w:val="0"/>
          <w:numId w:val="9"/>
        </w:numPr>
        <w:spacing w:line="276" w:lineRule="auto"/>
        <w:ind w:left="709" w:hanging="709"/>
        <w:jc w:val="both"/>
        <w:rPr>
          <w:rFonts w:ascii="Calibri" w:hAnsi="Calibri" w:cs="Calibri"/>
          <w:b/>
        </w:rPr>
      </w:pPr>
      <w:r w:rsidRPr="00B75ADB">
        <w:rPr>
          <w:rFonts w:ascii="Calibri" w:hAnsi="Calibri" w:cs="Calibri"/>
          <w:b/>
        </w:rPr>
        <w:t>KONTROLA DODRŽOVÁNÍ SMĚRNICE</w:t>
      </w:r>
    </w:p>
    <w:p w:rsidR="00CE5912" w:rsidRPr="00B75ADB" w:rsidRDefault="00B75ADB" w:rsidP="005668AA">
      <w:pPr>
        <w:numPr>
          <w:ilvl w:val="1"/>
          <w:numId w:val="9"/>
        </w:numPr>
        <w:spacing w:line="276" w:lineRule="auto"/>
        <w:ind w:left="709" w:hanging="709"/>
        <w:jc w:val="both"/>
        <w:rPr>
          <w:rFonts w:ascii="Calibri" w:hAnsi="Calibri" w:cs="Calibri"/>
          <w:b/>
        </w:rPr>
      </w:pPr>
      <w:r w:rsidRPr="00B75ADB">
        <w:rPr>
          <w:rFonts w:ascii="Calibri" w:hAnsi="Calibri" w:cs="Calibri"/>
        </w:rPr>
        <w:t xml:space="preserve">Dohled nad dodržováním této směrnice a závazných právních předpisů vykonává </w:t>
      </w:r>
      <w:r w:rsidR="00743BC8">
        <w:rPr>
          <w:rFonts w:ascii="Calibri" w:hAnsi="Calibri" w:cs="Calibri"/>
        </w:rPr>
        <w:t>Organizace.</w:t>
      </w:r>
    </w:p>
    <w:p w:rsidR="00CE5912" w:rsidRPr="00B75ADB" w:rsidRDefault="00B75ADB" w:rsidP="005668AA">
      <w:pPr>
        <w:numPr>
          <w:ilvl w:val="1"/>
          <w:numId w:val="9"/>
        </w:numPr>
        <w:spacing w:line="276" w:lineRule="auto"/>
        <w:ind w:left="709" w:hanging="709"/>
        <w:jc w:val="both"/>
        <w:rPr>
          <w:rFonts w:ascii="Calibri" w:hAnsi="Calibri" w:cs="Calibri"/>
          <w:b/>
        </w:rPr>
      </w:pPr>
      <w:r w:rsidRPr="00B75ADB">
        <w:rPr>
          <w:rFonts w:ascii="Calibri" w:hAnsi="Calibri" w:cs="Calibri"/>
        </w:rPr>
        <w:t>V případě jakýchk</w:t>
      </w:r>
      <w:r w:rsidR="00950BA1">
        <w:rPr>
          <w:rFonts w:ascii="Calibri" w:hAnsi="Calibri" w:cs="Calibri"/>
        </w:rPr>
        <w:t>oli pochybností o výkladu této S</w:t>
      </w:r>
      <w:r w:rsidRPr="00B75ADB">
        <w:rPr>
          <w:rFonts w:ascii="Calibri" w:hAnsi="Calibri" w:cs="Calibri"/>
        </w:rPr>
        <w:t xml:space="preserve">měrnice či rozsahu a obsahu zákonných povinností poskytuje </w:t>
      </w:r>
      <w:r w:rsidR="00950BA1">
        <w:rPr>
          <w:rFonts w:ascii="Calibri" w:hAnsi="Calibri" w:cs="Calibri"/>
        </w:rPr>
        <w:t>Organizace</w:t>
      </w:r>
      <w:r w:rsidRPr="00B75ADB">
        <w:rPr>
          <w:rFonts w:ascii="Calibri" w:hAnsi="Calibri" w:cs="Calibri"/>
        </w:rPr>
        <w:t xml:space="preserve"> závazný výklad, kterým jsou povinni se řídit.</w:t>
      </w:r>
    </w:p>
    <w:p w:rsidR="00CE5912" w:rsidRPr="00B75ADB" w:rsidRDefault="00CE5912" w:rsidP="00CE5912">
      <w:pPr>
        <w:spacing w:line="276" w:lineRule="auto"/>
        <w:ind w:left="709"/>
        <w:jc w:val="both"/>
        <w:rPr>
          <w:rFonts w:ascii="Calibri" w:hAnsi="Calibri" w:cs="Calibri"/>
          <w:b/>
        </w:rPr>
      </w:pPr>
    </w:p>
    <w:p w:rsidR="00950BA1" w:rsidRPr="0023271A" w:rsidRDefault="00CE5912" w:rsidP="0023271A">
      <w:pPr>
        <w:numPr>
          <w:ilvl w:val="0"/>
          <w:numId w:val="9"/>
        </w:numPr>
        <w:spacing w:line="276" w:lineRule="auto"/>
        <w:ind w:left="709" w:hanging="709"/>
        <w:jc w:val="both"/>
        <w:rPr>
          <w:rFonts w:ascii="Calibri" w:hAnsi="Calibri" w:cs="Calibri"/>
          <w:b/>
        </w:rPr>
      </w:pPr>
      <w:r w:rsidRPr="00B75ADB">
        <w:rPr>
          <w:rFonts w:ascii="Calibri" w:hAnsi="Calibri" w:cs="Calibri"/>
          <w:b/>
        </w:rPr>
        <w:t>PŘÍLOHY</w:t>
      </w:r>
    </w:p>
    <w:p w:rsidR="00B75ADB" w:rsidRPr="00B75ADB" w:rsidRDefault="00B75ADB" w:rsidP="00950BA1">
      <w:pPr>
        <w:spacing w:line="276" w:lineRule="auto"/>
        <w:ind w:left="709"/>
        <w:rPr>
          <w:rFonts w:ascii="Calibri" w:hAnsi="Calibri" w:cs="Calibri"/>
        </w:rPr>
      </w:pPr>
      <w:r w:rsidRPr="00B75ADB">
        <w:rPr>
          <w:rFonts w:ascii="Calibri" w:hAnsi="Calibri" w:cs="Calibri"/>
        </w:rPr>
        <w:t xml:space="preserve">Nedílnou součástí této směrnice </w:t>
      </w:r>
      <w:r w:rsidR="00382F47" w:rsidRPr="0023271A">
        <w:rPr>
          <w:rFonts w:ascii="Calibri" w:hAnsi="Calibri" w:cs="Calibri"/>
        </w:rPr>
        <w:t>je 1 příloha.</w:t>
      </w:r>
    </w:p>
    <w:p w:rsidR="00B75ADB" w:rsidRPr="00B75ADB" w:rsidRDefault="00B75ADB" w:rsidP="00BF0D94">
      <w:pPr>
        <w:spacing w:line="276" w:lineRule="auto"/>
        <w:rPr>
          <w:rFonts w:ascii="Calibri" w:hAnsi="Calibri" w:cs="Calibri"/>
        </w:rPr>
      </w:pPr>
    </w:p>
    <w:tbl>
      <w:tblPr>
        <w:tblW w:w="0" w:type="auto"/>
        <w:tblLook w:val="04A0"/>
      </w:tblPr>
      <w:tblGrid>
        <w:gridCol w:w="4606"/>
        <w:gridCol w:w="4606"/>
      </w:tblGrid>
      <w:tr w:rsidR="00CE5912" w:rsidRPr="00B75ADB" w:rsidTr="00B75ADB">
        <w:tc>
          <w:tcPr>
            <w:tcW w:w="4606" w:type="dxa"/>
            <w:shd w:val="clear" w:color="auto" w:fill="auto"/>
          </w:tcPr>
          <w:p w:rsidR="00CE5912" w:rsidRPr="00B75ADB" w:rsidRDefault="00CE5912" w:rsidP="00B75ADB">
            <w:pPr>
              <w:spacing w:line="276" w:lineRule="auto"/>
              <w:rPr>
                <w:rFonts w:ascii="Calibri" w:hAnsi="Calibri" w:cs="Calibri"/>
              </w:rPr>
            </w:pPr>
            <w:r w:rsidRPr="00B75ADB">
              <w:rPr>
                <w:rFonts w:ascii="Calibri" w:hAnsi="Calibri" w:cs="Calibri"/>
              </w:rPr>
              <w:t xml:space="preserve">V </w:t>
            </w:r>
            <w:proofErr w:type="spellStart"/>
            <w:r w:rsidR="00176135">
              <w:rPr>
                <w:rFonts w:ascii="Calibri" w:hAnsi="Calibri" w:cs="Calibri"/>
              </w:rPr>
              <w:t>Menharticích</w:t>
            </w:r>
            <w:proofErr w:type="spellEnd"/>
            <w:r w:rsidRPr="00B75ADB">
              <w:rPr>
                <w:rFonts w:ascii="Calibri" w:hAnsi="Calibri" w:cs="Calibri"/>
              </w:rPr>
              <w:t xml:space="preserve"> dne </w:t>
            </w:r>
          </w:p>
        </w:tc>
        <w:tc>
          <w:tcPr>
            <w:tcW w:w="4606" w:type="dxa"/>
            <w:shd w:val="clear" w:color="auto" w:fill="auto"/>
          </w:tcPr>
          <w:p w:rsidR="00CE5912" w:rsidRPr="00B75ADB" w:rsidRDefault="00CE5912" w:rsidP="00B75ADB">
            <w:pPr>
              <w:spacing w:line="276" w:lineRule="auto"/>
              <w:rPr>
                <w:rFonts w:ascii="Calibri" w:hAnsi="Calibri" w:cs="Calibri"/>
              </w:rPr>
            </w:pPr>
          </w:p>
        </w:tc>
      </w:tr>
      <w:tr w:rsidR="00CE5912" w:rsidRPr="00B75ADB" w:rsidTr="00B75ADB">
        <w:tc>
          <w:tcPr>
            <w:tcW w:w="4606" w:type="dxa"/>
            <w:shd w:val="clear" w:color="auto" w:fill="auto"/>
          </w:tcPr>
          <w:p w:rsidR="00CE5912" w:rsidRPr="00B75ADB" w:rsidRDefault="00CE5912" w:rsidP="00B75ADB">
            <w:pPr>
              <w:spacing w:line="276" w:lineRule="auto"/>
              <w:jc w:val="center"/>
              <w:rPr>
                <w:rFonts w:ascii="Calibri" w:hAnsi="Calibri" w:cs="Calibri"/>
              </w:rPr>
            </w:pPr>
          </w:p>
          <w:p w:rsidR="00CE5912" w:rsidRPr="00B75ADB" w:rsidRDefault="00CE5912" w:rsidP="00B75ADB">
            <w:pPr>
              <w:spacing w:line="276" w:lineRule="auto"/>
              <w:jc w:val="center"/>
              <w:rPr>
                <w:rFonts w:ascii="Calibri" w:hAnsi="Calibri" w:cs="Calibri"/>
              </w:rPr>
            </w:pPr>
          </w:p>
          <w:p w:rsidR="00CE5912" w:rsidRPr="00B75ADB" w:rsidRDefault="00CE5912" w:rsidP="00B75ADB">
            <w:pPr>
              <w:spacing w:line="276" w:lineRule="auto"/>
              <w:jc w:val="center"/>
              <w:rPr>
                <w:rFonts w:ascii="Calibri" w:hAnsi="Calibri" w:cs="Calibri"/>
              </w:rPr>
            </w:pPr>
            <w:r w:rsidRPr="00B75ADB">
              <w:rPr>
                <w:rFonts w:ascii="Calibri" w:hAnsi="Calibri" w:cs="Calibri"/>
              </w:rPr>
              <w:t>………………………………………………………….</w:t>
            </w:r>
          </w:p>
        </w:tc>
        <w:tc>
          <w:tcPr>
            <w:tcW w:w="4606" w:type="dxa"/>
            <w:shd w:val="clear" w:color="auto" w:fill="auto"/>
          </w:tcPr>
          <w:p w:rsidR="00CE5912" w:rsidRPr="00B75ADB" w:rsidRDefault="00CE5912" w:rsidP="00B75ADB">
            <w:pPr>
              <w:spacing w:line="276" w:lineRule="auto"/>
              <w:rPr>
                <w:rFonts w:ascii="Calibri" w:hAnsi="Calibri" w:cs="Calibri"/>
              </w:rPr>
            </w:pPr>
          </w:p>
        </w:tc>
      </w:tr>
      <w:tr w:rsidR="00CE5912" w:rsidRPr="00B75ADB" w:rsidTr="00B75ADB">
        <w:tc>
          <w:tcPr>
            <w:tcW w:w="4606" w:type="dxa"/>
            <w:shd w:val="clear" w:color="auto" w:fill="auto"/>
          </w:tcPr>
          <w:p w:rsidR="00CE5912" w:rsidRPr="00B75ADB" w:rsidRDefault="008527D6" w:rsidP="00B75ADB">
            <w:pPr>
              <w:spacing w:line="276" w:lineRule="auto"/>
              <w:jc w:val="center"/>
              <w:rPr>
                <w:rFonts w:ascii="Calibri" w:hAnsi="Calibri" w:cs="Calibri"/>
              </w:rPr>
            </w:pPr>
            <w:r>
              <w:rPr>
                <w:rFonts w:ascii="Calibri" w:hAnsi="Calibri" w:cs="Calibri"/>
              </w:rPr>
              <w:t>Organizace</w:t>
            </w:r>
          </w:p>
        </w:tc>
        <w:tc>
          <w:tcPr>
            <w:tcW w:w="4606" w:type="dxa"/>
            <w:shd w:val="clear" w:color="auto" w:fill="auto"/>
          </w:tcPr>
          <w:p w:rsidR="00CE5912" w:rsidRPr="00B75ADB" w:rsidRDefault="00CE5912" w:rsidP="00B75ADB">
            <w:pPr>
              <w:spacing w:line="276" w:lineRule="auto"/>
              <w:rPr>
                <w:rFonts w:ascii="Calibri" w:hAnsi="Calibri" w:cs="Calibri"/>
              </w:rPr>
            </w:pPr>
          </w:p>
        </w:tc>
      </w:tr>
    </w:tbl>
    <w:p w:rsidR="00B873F0" w:rsidRDefault="00B873F0" w:rsidP="00BF0D94">
      <w:pPr>
        <w:spacing w:line="276" w:lineRule="auto"/>
        <w:rPr>
          <w:rFonts w:ascii="Calibri" w:hAnsi="Calibri" w:cs="Calibri"/>
        </w:rPr>
      </w:pPr>
    </w:p>
    <w:p w:rsidR="0023271A" w:rsidRDefault="0023271A" w:rsidP="00BF0D94">
      <w:pPr>
        <w:spacing w:line="276" w:lineRule="auto"/>
        <w:rPr>
          <w:rFonts w:ascii="Calibri" w:hAnsi="Calibri" w:cs="Calibri"/>
        </w:rPr>
      </w:pPr>
    </w:p>
    <w:p w:rsidR="0023271A" w:rsidRDefault="0023271A" w:rsidP="00BF0D94">
      <w:pPr>
        <w:spacing w:line="276" w:lineRule="auto"/>
        <w:rPr>
          <w:rFonts w:ascii="Calibri" w:hAnsi="Calibri" w:cs="Calibri"/>
        </w:rPr>
      </w:pPr>
    </w:p>
    <w:p w:rsidR="00B75ADB" w:rsidRDefault="00B873F0" w:rsidP="00B873F0">
      <w:pPr>
        <w:spacing w:line="276" w:lineRule="auto"/>
        <w:jc w:val="center"/>
        <w:rPr>
          <w:rFonts w:ascii="Calibri" w:hAnsi="Calibri" w:cs="Calibri"/>
          <w:b/>
        </w:rPr>
      </w:pPr>
      <w:r>
        <w:rPr>
          <w:rFonts w:ascii="Calibri" w:hAnsi="Calibri" w:cs="Calibri"/>
        </w:rPr>
        <w:br w:type="page"/>
      </w:r>
      <w:r w:rsidRPr="0023271A">
        <w:rPr>
          <w:rFonts w:ascii="Calibri" w:hAnsi="Calibri" w:cs="Calibri"/>
          <w:b/>
        </w:rPr>
        <w:lastRenderedPageBreak/>
        <w:t xml:space="preserve">PŘÍLOHA Č. </w:t>
      </w:r>
      <w:r w:rsidR="00382F47" w:rsidRPr="0023271A">
        <w:rPr>
          <w:rFonts w:ascii="Calibri" w:hAnsi="Calibri" w:cs="Calibri"/>
          <w:b/>
        </w:rPr>
        <w:t>1</w:t>
      </w:r>
      <w:r w:rsidR="00382F47">
        <w:rPr>
          <w:rFonts w:ascii="Calibri" w:hAnsi="Calibri" w:cs="Calibri"/>
          <w:b/>
        </w:rPr>
        <w:t xml:space="preserve"> </w:t>
      </w:r>
      <w:r>
        <w:rPr>
          <w:rFonts w:ascii="Calibri" w:hAnsi="Calibri" w:cs="Calibri"/>
          <w:b/>
        </w:rPr>
        <w:t xml:space="preserve">O PŘÍSLUŠNÝCH OSOBÁCH </w:t>
      </w:r>
      <w:r w:rsidRPr="00B873F0">
        <w:rPr>
          <w:rFonts w:ascii="Calibri" w:hAnsi="Calibri" w:cs="Calibri"/>
          <w:b/>
        </w:rPr>
        <w:t>K</w:t>
      </w:r>
      <w:r>
        <w:rPr>
          <w:rFonts w:ascii="Calibri" w:hAnsi="Calibri" w:cs="Calibri"/>
          <w:b/>
        </w:rPr>
        <w:t>E</w:t>
      </w:r>
      <w:r w:rsidRPr="00B873F0">
        <w:rPr>
          <w:rFonts w:ascii="Calibri" w:hAnsi="Calibri" w:cs="Calibri"/>
          <w:b/>
        </w:rPr>
        <w:t> SMĚRNICI Č</w:t>
      </w:r>
      <w:r>
        <w:rPr>
          <w:rFonts w:ascii="Calibri" w:hAnsi="Calibri" w:cs="Calibri"/>
          <w:b/>
        </w:rPr>
        <w:t>.</w:t>
      </w:r>
      <w:r w:rsidRPr="00B873F0">
        <w:rPr>
          <w:rFonts w:ascii="Calibri" w:hAnsi="Calibri" w:cs="Calibri"/>
          <w:b/>
        </w:rPr>
        <w:t xml:space="preserve"> </w:t>
      </w:r>
      <w:r w:rsidR="00176135">
        <w:rPr>
          <w:rFonts w:ascii="Calibri" w:hAnsi="Calibri" w:cs="Calibri"/>
          <w:b/>
        </w:rPr>
        <w:t>1/2018</w:t>
      </w:r>
    </w:p>
    <w:p w:rsidR="00B873F0" w:rsidRDefault="00B873F0" w:rsidP="00B873F0">
      <w:pPr>
        <w:spacing w:line="276" w:lineRule="auto"/>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AC6030" w:rsidRPr="000973AA" w:rsidTr="000973AA">
        <w:trPr>
          <w:trHeight w:val="510"/>
        </w:trPr>
        <w:tc>
          <w:tcPr>
            <w:tcW w:w="3070" w:type="dxa"/>
            <w:shd w:val="clear" w:color="auto" w:fill="auto"/>
            <w:vAlign w:val="center"/>
          </w:tcPr>
          <w:p w:rsidR="00AC6030" w:rsidRPr="000973AA" w:rsidRDefault="00AC6030" w:rsidP="000973AA">
            <w:pPr>
              <w:spacing w:line="276" w:lineRule="auto"/>
              <w:jc w:val="center"/>
              <w:rPr>
                <w:rFonts w:ascii="Calibri" w:hAnsi="Calibri" w:cs="Calibri"/>
              </w:rPr>
            </w:pPr>
            <w:r w:rsidRPr="000973AA">
              <w:rPr>
                <w:rFonts w:ascii="Calibri" w:hAnsi="Calibri" w:cs="Calibri"/>
              </w:rPr>
              <w:t>Jméno a příjmení</w:t>
            </w:r>
          </w:p>
        </w:tc>
        <w:tc>
          <w:tcPr>
            <w:tcW w:w="3071" w:type="dxa"/>
            <w:shd w:val="clear" w:color="auto" w:fill="auto"/>
            <w:vAlign w:val="center"/>
          </w:tcPr>
          <w:p w:rsidR="00AC6030" w:rsidRPr="000973AA" w:rsidRDefault="00AC6030" w:rsidP="000973AA">
            <w:pPr>
              <w:spacing w:line="276" w:lineRule="auto"/>
              <w:jc w:val="center"/>
              <w:rPr>
                <w:rFonts w:ascii="Calibri" w:hAnsi="Calibri" w:cs="Calibri"/>
              </w:rPr>
            </w:pPr>
            <w:r w:rsidRPr="000973AA">
              <w:rPr>
                <w:rFonts w:ascii="Calibri" w:hAnsi="Calibri" w:cs="Calibri"/>
              </w:rPr>
              <w:t>Zařazení v Organizaci</w:t>
            </w:r>
          </w:p>
        </w:tc>
        <w:tc>
          <w:tcPr>
            <w:tcW w:w="3071" w:type="dxa"/>
            <w:shd w:val="clear" w:color="auto" w:fill="auto"/>
            <w:vAlign w:val="center"/>
          </w:tcPr>
          <w:p w:rsidR="00AC6030" w:rsidRPr="000973AA" w:rsidRDefault="00AC6030" w:rsidP="000973AA">
            <w:pPr>
              <w:spacing w:line="276" w:lineRule="auto"/>
              <w:jc w:val="center"/>
              <w:rPr>
                <w:rFonts w:ascii="Calibri" w:hAnsi="Calibri" w:cs="Calibri"/>
              </w:rPr>
            </w:pPr>
            <w:r w:rsidRPr="000973AA">
              <w:rPr>
                <w:rFonts w:ascii="Calibri" w:hAnsi="Calibri" w:cs="Calibri"/>
              </w:rPr>
              <w:t>Agenda Příslušné osoby</w:t>
            </w:r>
          </w:p>
        </w:tc>
      </w:tr>
      <w:tr w:rsidR="00AC6030" w:rsidRPr="000973AA" w:rsidTr="000973AA">
        <w:trPr>
          <w:trHeight w:val="510"/>
        </w:trPr>
        <w:tc>
          <w:tcPr>
            <w:tcW w:w="3070" w:type="dxa"/>
            <w:shd w:val="clear" w:color="auto" w:fill="auto"/>
            <w:vAlign w:val="center"/>
          </w:tcPr>
          <w:p w:rsidR="00AC6030" w:rsidRPr="000973AA" w:rsidRDefault="00176135" w:rsidP="000973AA">
            <w:pPr>
              <w:spacing w:line="276" w:lineRule="auto"/>
              <w:jc w:val="center"/>
              <w:rPr>
                <w:rFonts w:ascii="Calibri" w:hAnsi="Calibri" w:cs="Calibri"/>
              </w:rPr>
            </w:pPr>
            <w:proofErr w:type="spellStart"/>
            <w:r>
              <w:rPr>
                <w:rFonts w:ascii="Calibri" w:hAnsi="Calibri" w:cs="Calibri"/>
              </w:rPr>
              <w:t>Gliganičová</w:t>
            </w:r>
            <w:proofErr w:type="spellEnd"/>
            <w:r>
              <w:rPr>
                <w:rFonts w:ascii="Calibri" w:hAnsi="Calibri" w:cs="Calibri"/>
              </w:rPr>
              <w:t xml:space="preserve"> Božena</w:t>
            </w:r>
          </w:p>
        </w:tc>
        <w:tc>
          <w:tcPr>
            <w:tcW w:w="3071" w:type="dxa"/>
            <w:shd w:val="clear" w:color="auto" w:fill="auto"/>
            <w:vAlign w:val="center"/>
          </w:tcPr>
          <w:p w:rsidR="00AC6030" w:rsidRPr="000973AA" w:rsidRDefault="00176135" w:rsidP="000973AA">
            <w:pPr>
              <w:spacing w:line="276" w:lineRule="auto"/>
              <w:jc w:val="center"/>
              <w:rPr>
                <w:rFonts w:ascii="Calibri" w:hAnsi="Calibri" w:cs="Calibri"/>
              </w:rPr>
            </w:pPr>
            <w:r>
              <w:rPr>
                <w:rFonts w:ascii="Calibri" w:hAnsi="Calibri" w:cs="Calibri"/>
              </w:rPr>
              <w:t>s</w:t>
            </w:r>
            <w:r w:rsidR="00AC6030" w:rsidRPr="000973AA">
              <w:rPr>
                <w:rFonts w:ascii="Calibri" w:hAnsi="Calibri" w:cs="Calibri"/>
              </w:rPr>
              <w:t>tarost</w:t>
            </w:r>
            <w:r>
              <w:rPr>
                <w:rFonts w:ascii="Calibri" w:hAnsi="Calibri" w:cs="Calibri"/>
              </w:rPr>
              <w:t>k</w:t>
            </w:r>
            <w:r w:rsidR="00AC6030" w:rsidRPr="000973AA">
              <w:rPr>
                <w:rFonts w:ascii="Calibri" w:hAnsi="Calibri" w:cs="Calibri"/>
              </w:rPr>
              <w:t>a</w:t>
            </w:r>
          </w:p>
        </w:tc>
        <w:tc>
          <w:tcPr>
            <w:tcW w:w="3071" w:type="dxa"/>
            <w:shd w:val="clear" w:color="auto" w:fill="auto"/>
            <w:vAlign w:val="center"/>
          </w:tcPr>
          <w:p w:rsidR="00176135" w:rsidRPr="008E780A" w:rsidRDefault="00AC6030" w:rsidP="00176135">
            <w:pPr>
              <w:pStyle w:val="Default"/>
              <w:jc w:val="center"/>
              <w:rPr>
                <w:rFonts w:asciiTheme="minorHAnsi" w:hAnsiTheme="minorHAnsi" w:cstheme="minorHAnsi"/>
              </w:rPr>
            </w:pPr>
            <w:r w:rsidRPr="000973AA">
              <w:t>Kontaktní osoba</w:t>
            </w:r>
            <w:r w:rsidR="00176135">
              <w:br/>
            </w:r>
            <w:r w:rsidR="00176135" w:rsidRPr="008E780A">
              <w:rPr>
                <w:rFonts w:asciiTheme="minorHAnsi" w:hAnsiTheme="minorHAnsi" w:cstheme="minorHAnsi"/>
              </w:rPr>
              <w:t xml:space="preserve">Poskytování informací dle zákona č. 106/1999 Sb. </w:t>
            </w:r>
          </w:p>
          <w:p w:rsidR="00176135" w:rsidRPr="008E780A" w:rsidRDefault="00176135" w:rsidP="00176135">
            <w:pPr>
              <w:pStyle w:val="Default"/>
              <w:jc w:val="center"/>
              <w:rPr>
                <w:rFonts w:asciiTheme="minorHAnsi" w:hAnsiTheme="minorHAnsi" w:cstheme="minorHAnsi"/>
              </w:rPr>
            </w:pPr>
            <w:proofErr w:type="spellStart"/>
            <w:r w:rsidRPr="008E780A">
              <w:rPr>
                <w:rFonts w:asciiTheme="minorHAnsi" w:hAnsiTheme="minorHAnsi" w:cstheme="minorHAnsi"/>
              </w:rPr>
              <w:t>Czech</w:t>
            </w:r>
            <w:proofErr w:type="spellEnd"/>
            <w:r w:rsidRPr="008E780A">
              <w:rPr>
                <w:rFonts w:asciiTheme="minorHAnsi" w:hAnsiTheme="minorHAnsi" w:cstheme="minorHAnsi"/>
              </w:rPr>
              <w:t xml:space="preserve"> Point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Evidence obyvatel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Místní poplatky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Spisová služba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Volební systém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Účetnictví </w:t>
            </w:r>
          </w:p>
          <w:p w:rsidR="00AC6030" w:rsidRPr="000973AA" w:rsidRDefault="00AC6030" w:rsidP="000973AA">
            <w:pPr>
              <w:spacing w:line="276" w:lineRule="auto"/>
              <w:jc w:val="center"/>
              <w:rPr>
                <w:rFonts w:ascii="Calibri" w:hAnsi="Calibri" w:cs="Calibri"/>
              </w:rPr>
            </w:pPr>
          </w:p>
        </w:tc>
      </w:tr>
      <w:tr w:rsidR="00176135" w:rsidRPr="000973AA" w:rsidTr="000973AA">
        <w:trPr>
          <w:trHeight w:val="510"/>
        </w:trPr>
        <w:tc>
          <w:tcPr>
            <w:tcW w:w="3070" w:type="dxa"/>
            <w:shd w:val="clear" w:color="auto" w:fill="auto"/>
            <w:vAlign w:val="center"/>
          </w:tcPr>
          <w:p w:rsidR="00176135" w:rsidRDefault="00176135" w:rsidP="000973AA">
            <w:pPr>
              <w:spacing w:line="276" w:lineRule="auto"/>
              <w:jc w:val="center"/>
              <w:rPr>
                <w:rFonts w:ascii="Calibri" w:hAnsi="Calibri" w:cs="Calibri"/>
              </w:rPr>
            </w:pPr>
            <w:proofErr w:type="spellStart"/>
            <w:r>
              <w:rPr>
                <w:rFonts w:ascii="Calibri" w:hAnsi="Calibri" w:cs="Calibri"/>
              </w:rPr>
              <w:t>Ellinger</w:t>
            </w:r>
            <w:proofErr w:type="spellEnd"/>
            <w:r>
              <w:rPr>
                <w:rFonts w:ascii="Calibri" w:hAnsi="Calibri" w:cs="Calibri"/>
              </w:rPr>
              <w:t xml:space="preserve"> Pavel</w:t>
            </w:r>
          </w:p>
        </w:tc>
        <w:tc>
          <w:tcPr>
            <w:tcW w:w="3071" w:type="dxa"/>
            <w:shd w:val="clear" w:color="auto" w:fill="auto"/>
            <w:vAlign w:val="center"/>
          </w:tcPr>
          <w:p w:rsidR="00176135" w:rsidRDefault="00176135" w:rsidP="000973AA">
            <w:pPr>
              <w:spacing w:line="276" w:lineRule="auto"/>
              <w:jc w:val="center"/>
              <w:rPr>
                <w:rFonts w:ascii="Calibri" w:hAnsi="Calibri" w:cs="Calibri"/>
              </w:rPr>
            </w:pPr>
            <w:r>
              <w:rPr>
                <w:rFonts w:ascii="Calibri" w:hAnsi="Calibri" w:cs="Calibri"/>
              </w:rPr>
              <w:t>místostarosta</w:t>
            </w:r>
          </w:p>
        </w:tc>
        <w:tc>
          <w:tcPr>
            <w:tcW w:w="3071" w:type="dxa"/>
            <w:shd w:val="clear" w:color="auto" w:fill="auto"/>
            <w:vAlign w:val="center"/>
          </w:tcPr>
          <w:p w:rsidR="00176135" w:rsidRPr="008E780A" w:rsidRDefault="00176135" w:rsidP="00176135">
            <w:pPr>
              <w:pStyle w:val="Default"/>
              <w:jc w:val="center"/>
              <w:rPr>
                <w:rFonts w:asciiTheme="minorHAnsi" w:hAnsiTheme="minorHAnsi" w:cstheme="minorHAnsi"/>
              </w:rPr>
            </w:pPr>
            <w:r w:rsidRPr="000973AA">
              <w:t>Kontaktní osoba</w:t>
            </w:r>
            <w:r>
              <w:br/>
            </w:r>
            <w:r w:rsidRPr="008E780A">
              <w:rPr>
                <w:rFonts w:asciiTheme="minorHAnsi" w:hAnsiTheme="minorHAnsi" w:cstheme="minorHAnsi"/>
              </w:rPr>
              <w:t xml:space="preserve">Poskytování informací dle zákona č. 106/1999 Sb. </w:t>
            </w:r>
          </w:p>
          <w:p w:rsidR="00176135" w:rsidRPr="008E780A" w:rsidRDefault="00176135" w:rsidP="00176135">
            <w:pPr>
              <w:pStyle w:val="Default"/>
              <w:jc w:val="center"/>
              <w:rPr>
                <w:rFonts w:asciiTheme="minorHAnsi" w:hAnsiTheme="minorHAnsi" w:cstheme="minorHAnsi"/>
              </w:rPr>
            </w:pPr>
            <w:proofErr w:type="spellStart"/>
            <w:r w:rsidRPr="008E780A">
              <w:rPr>
                <w:rFonts w:asciiTheme="minorHAnsi" w:hAnsiTheme="minorHAnsi" w:cstheme="minorHAnsi"/>
              </w:rPr>
              <w:t>Czech</w:t>
            </w:r>
            <w:proofErr w:type="spellEnd"/>
            <w:r w:rsidRPr="008E780A">
              <w:rPr>
                <w:rFonts w:asciiTheme="minorHAnsi" w:hAnsiTheme="minorHAnsi" w:cstheme="minorHAnsi"/>
              </w:rPr>
              <w:t xml:space="preserve"> Point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Evidence obyvatel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Místní poplatky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Spisová služba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Volební systém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Účetnictví </w:t>
            </w:r>
          </w:p>
          <w:p w:rsidR="00176135" w:rsidRPr="000973AA" w:rsidRDefault="00176135" w:rsidP="00176135">
            <w:pPr>
              <w:pStyle w:val="Default"/>
              <w:jc w:val="center"/>
            </w:pPr>
          </w:p>
        </w:tc>
      </w:tr>
      <w:tr w:rsidR="00176135" w:rsidRPr="000973AA" w:rsidTr="000973AA">
        <w:trPr>
          <w:trHeight w:val="510"/>
        </w:trPr>
        <w:tc>
          <w:tcPr>
            <w:tcW w:w="3070" w:type="dxa"/>
            <w:shd w:val="clear" w:color="auto" w:fill="auto"/>
            <w:vAlign w:val="center"/>
          </w:tcPr>
          <w:p w:rsidR="00176135" w:rsidRDefault="00176135" w:rsidP="000973AA">
            <w:pPr>
              <w:spacing w:line="276" w:lineRule="auto"/>
              <w:jc w:val="center"/>
              <w:rPr>
                <w:rFonts w:ascii="Calibri" w:hAnsi="Calibri" w:cs="Calibri"/>
              </w:rPr>
            </w:pPr>
            <w:r>
              <w:rPr>
                <w:rFonts w:ascii="Calibri" w:hAnsi="Calibri" w:cs="Calibri"/>
              </w:rPr>
              <w:t>Jahodová Věra</w:t>
            </w:r>
          </w:p>
        </w:tc>
        <w:tc>
          <w:tcPr>
            <w:tcW w:w="3071" w:type="dxa"/>
            <w:shd w:val="clear" w:color="auto" w:fill="auto"/>
            <w:vAlign w:val="center"/>
          </w:tcPr>
          <w:p w:rsidR="00176135" w:rsidRDefault="00176135" w:rsidP="000973AA">
            <w:pPr>
              <w:spacing w:line="276" w:lineRule="auto"/>
              <w:jc w:val="center"/>
              <w:rPr>
                <w:rFonts w:ascii="Calibri" w:hAnsi="Calibri" w:cs="Calibri"/>
              </w:rPr>
            </w:pPr>
            <w:r>
              <w:rPr>
                <w:rFonts w:ascii="Calibri" w:hAnsi="Calibri" w:cs="Calibri"/>
              </w:rPr>
              <w:t>zaměstnanec - účetní</w:t>
            </w:r>
          </w:p>
        </w:tc>
        <w:tc>
          <w:tcPr>
            <w:tcW w:w="3071" w:type="dxa"/>
            <w:shd w:val="clear" w:color="auto" w:fill="auto"/>
            <w:vAlign w:val="center"/>
          </w:tcPr>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Účetnictví </w:t>
            </w:r>
          </w:p>
          <w:p w:rsidR="00176135" w:rsidRPr="008E780A" w:rsidRDefault="00176135" w:rsidP="00176135">
            <w:pPr>
              <w:pStyle w:val="Default"/>
              <w:jc w:val="center"/>
              <w:rPr>
                <w:rFonts w:asciiTheme="minorHAnsi" w:hAnsiTheme="minorHAnsi" w:cstheme="minorHAnsi"/>
              </w:rPr>
            </w:pPr>
            <w:r w:rsidRPr="008E780A">
              <w:rPr>
                <w:rFonts w:asciiTheme="minorHAnsi" w:hAnsiTheme="minorHAnsi" w:cstheme="minorHAnsi"/>
              </w:rPr>
              <w:t xml:space="preserve">Zaměstnanecká agenda </w:t>
            </w:r>
          </w:p>
          <w:p w:rsidR="00176135" w:rsidRPr="000973AA" w:rsidRDefault="00176135" w:rsidP="00176135">
            <w:pPr>
              <w:pStyle w:val="Default"/>
              <w:jc w:val="center"/>
            </w:pPr>
            <w:r w:rsidRPr="008E780A">
              <w:rPr>
                <w:rFonts w:asciiTheme="minorHAnsi" w:hAnsiTheme="minorHAnsi" w:cstheme="minorHAnsi"/>
              </w:rPr>
              <w:t>Místní poplatky</w:t>
            </w:r>
          </w:p>
        </w:tc>
      </w:tr>
    </w:tbl>
    <w:p w:rsidR="00B873F0" w:rsidRPr="00B873F0" w:rsidRDefault="00B873F0" w:rsidP="00B873F0">
      <w:pPr>
        <w:spacing w:line="276" w:lineRule="auto"/>
        <w:jc w:val="center"/>
        <w:rPr>
          <w:rFonts w:ascii="Calibri" w:hAnsi="Calibri" w:cs="Calibri"/>
        </w:rPr>
      </w:pPr>
    </w:p>
    <w:sectPr w:rsidR="00B873F0" w:rsidRPr="00B873F0">
      <w:footerReference w:type="default" r:id="rId7"/>
      <w:pgSz w:w="11906" w:h="16838"/>
      <w:pgMar w:top="1258" w:right="1417" w:bottom="125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D40" w:rsidRDefault="004E3D40">
      <w:r>
        <w:separator/>
      </w:r>
    </w:p>
  </w:endnote>
  <w:endnote w:type="continuationSeparator" w:id="0">
    <w:p w:rsidR="004E3D40" w:rsidRDefault="004E3D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135" w:rsidRDefault="00176135">
    <w:pPr>
      <w:pStyle w:val="Zpat"/>
      <w:jc w:val="right"/>
    </w:pPr>
    <w:fldSimple w:instr=" PAGE   \* MERGEFORMAT ">
      <w:r>
        <w:rPr>
          <w:noProof/>
        </w:rPr>
        <w:t>1</w:t>
      </w:r>
    </w:fldSimple>
  </w:p>
  <w:p w:rsidR="00B75ADB" w:rsidRDefault="00B75ADB">
    <w:pPr>
      <w:pStyle w:val="Zpat"/>
      <w:jc w:val="center"/>
      <w:rPr>
        <w:rFonts w:ascii="Arial" w:hAnsi="Arial"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D40" w:rsidRDefault="004E3D40">
      <w:r>
        <w:separator/>
      </w:r>
    </w:p>
  </w:footnote>
  <w:footnote w:type="continuationSeparator" w:id="0">
    <w:p w:rsidR="004E3D40" w:rsidRDefault="004E3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46774"/>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1F1069A5"/>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276B69F5"/>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319A164C"/>
    <w:multiLevelType w:val="multilevel"/>
    <w:tmpl w:val="14FA0008"/>
    <w:lvl w:ilvl="0">
      <w:start w:val="1"/>
      <w:numFmt w:val="ordinal"/>
      <w:lvlText w:val="%1"/>
      <w:lvlJc w:val="left"/>
      <w:pPr>
        <w:ind w:left="567" w:hanging="567"/>
      </w:pPr>
      <w:rPr>
        <w:rFonts w:ascii="Calibri" w:hAnsi="Calibri" w:cs="Times New Roman" w:hint="default"/>
        <w:b w:val="0"/>
      </w:rPr>
    </w:lvl>
    <w:lvl w:ilvl="1">
      <w:start w:val="1"/>
      <w:numFmt w:val="ordinal"/>
      <w:lvlText w:val="%2%1"/>
      <w:lvlJc w:val="left"/>
      <w:pPr>
        <w:ind w:left="567" w:hanging="567"/>
      </w:pPr>
      <w:rPr>
        <w:rFonts w:cs="Times New Roman" w:hint="default"/>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3BD108EF"/>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b w:val="0"/>
        <w:caps w:val="0"/>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3E934353"/>
    <w:multiLevelType w:val="multilevel"/>
    <w:tmpl w:val="14FA0008"/>
    <w:lvl w:ilvl="0">
      <w:start w:val="1"/>
      <w:numFmt w:val="ordinal"/>
      <w:lvlText w:val="Čl %1"/>
      <w:lvlJc w:val="left"/>
      <w:pPr>
        <w:ind w:left="567" w:hanging="567"/>
      </w:pPr>
      <w:rPr>
        <w:rFonts w:ascii="Calibri" w:hAnsi="Calibri" w:cs="Times New Roman" w:hint="default"/>
        <w:b/>
      </w:rPr>
    </w:lvl>
    <w:lvl w:ilvl="1">
      <w:start w:val="1"/>
      <w:numFmt w:val="ordinal"/>
      <w:lvlText w:val="%2%1"/>
      <w:lvlJc w:val="left"/>
      <w:pPr>
        <w:ind w:left="567" w:hanging="567"/>
      </w:pPr>
      <w:rPr>
        <w:rFonts w:cs="Times New Roman" w:hint="default"/>
        <w:b w:val="0"/>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6C3335CA"/>
    <w:multiLevelType w:val="multilevel"/>
    <w:tmpl w:val="F594F746"/>
    <w:lvl w:ilvl="0">
      <w:start w:val="1"/>
      <w:numFmt w:val="decimal"/>
      <w:lvlText w:val="Čl. %1."/>
      <w:lvlJc w:val="left"/>
      <w:pPr>
        <w:ind w:left="360" w:hanging="360"/>
      </w:pPr>
      <w:rPr>
        <w:rFonts w:hint="default"/>
        <w:b/>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70472319"/>
    <w:multiLevelType w:val="multilevel"/>
    <w:tmpl w:val="F594F746"/>
    <w:lvl w:ilvl="0">
      <w:start w:val="1"/>
      <w:numFmt w:val="decimal"/>
      <w:lvlText w:val="Čl. %1."/>
      <w:lvlJc w:val="left"/>
      <w:pPr>
        <w:ind w:left="360" w:hanging="360"/>
      </w:pPr>
      <w:rPr>
        <w:rFonts w:hint="default"/>
        <w:b/>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3C21960"/>
    <w:multiLevelType w:val="multilevel"/>
    <w:tmpl w:val="FDB83AB6"/>
    <w:lvl w:ilvl="0">
      <w:start w:val="1"/>
      <w:numFmt w:val="ordinal"/>
      <w:lvlText w:val="Čl %1"/>
      <w:lvlJc w:val="left"/>
      <w:pPr>
        <w:ind w:left="567" w:hanging="567"/>
      </w:pPr>
      <w:rPr>
        <w:rFonts w:ascii="Calibri" w:hAnsi="Calibri" w:cs="Times New Roman" w:hint="default"/>
        <w:b/>
      </w:rPr>
    </w:lvl>
    <w:lvl w:ilvl="1">
      <w:start w:val="1"/>
      <w:numFmt w:val="ordinal"/>
      <w:lvlText w:val="%1%2"/>
      <w:lvlJc w:val="left"/>
      <w:pPr>
        <w:ind w:left="567" w:hanging="567"/>
      </w:pPr>
      <w:rPr>
        <w:rFonts w:cs="Times New Roman" w:hint="default"/>
        <w:b w:val="0"/>
      </w:rPr>
    </w:lvl>
    <w:lvl w:ilvl="2">
      <w:start w:val="1"/>
      <w:numFmt w:val="lowerRoman"/>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lvlOverride w:ilvl="0">
      <w:lvl w:ilvl="0">
        <w:start w:val="1"/>
        <w:numFmt w:val="ordinal"/>
        <w:lvlText w:val="Čl %1"/>
        <w:lvlJc w:val="left"/>
        <w:pPr>
          <w:ind w:left="567" w:hanging="567"/>
        </w:pPr>
        <w:rPr>
          <w:rFonts w:ascii="Calibri" w:hAnsi="Calibri" w:cs="Times New Roman" w:hint="default"/>
          <w:b/>
        </w:rPr>
      </w:lvl>
    </w:lvlOverride>
    <w:lvlOverride w:ilvl="1">
      <w:lvl w:ilvl="1">
        <w:start w:val="1"/>
        <w:numFmt w:val="ordinal"/>
        <w:lvlText w:val="%2%1"/>
        <w:lvlJc w:val="left"/>
        <w:pPr>
          <w:ind w:left="567" w:hanging="567"/>
        </w:pPr>
        <w:rPr>
          <w:rFonts w:cs="Times New Roman" w:hint="default"/>
          <w:b w:val="0"/>
        </w:rPr>
      </w:lvl>
    </w:lvlOverride>
    <w:lvlOverride w:ilvl="2">
      <w:lvl w:ilvl="2">
        <w:start w:val="1"/>
        <w:numFmt w:val="lowerLetter"/>
        <w:lvlText w:val="%3)"/>
        <w:lvlJc w:val="left"/>
        <w:pPr>
          <w:ind w:left="1134" w:hanging="567"/>
        </w:pPr>
        <w:rPr>
          <w:rFonts w:cs="Times New Roman" w:hint="default"/>
        </w:rPr>
      </w:lvl>
    </w:lvlOverride>
    <w:lvlOverride w:ilvl="3">
      <w:lvl w:ilvl="3">
        <w:start w:val="1"/>
        <w:numFmt w:val="bullet"/>
        <w:lvlText w:val=""/>
        <w:lvlJc w:val="left"/>
        <w:pPr>
          <w:ind w:left="1701" w:hanging="567"/>
        </w:pPr>
        <w:rPr>
          <w:rFonts w:ascii="Symbol" w:hAnsi="Symbol"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2">
    <w:abstractNumId w:val="4"/>
  </w:num>
  <w:num w:numId="3">
    <w:abstractNumId w:val="1"/>
  </w:num>
  <w:num w:numId="4">
    <w:abstractNumId w:val="5"/>
  </w:num>
  <w:num w:numId="5">
    <w:abstractNumId w:val="0"/>
  </w:num>
  <w:num w:numId="6">
    <w:abstractNumId w:val="8"/>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E13869"/>
    <w:rsid w:val="000973AA"/>
    <w:rsid w:val="000E2B91"/>
    <w:rsid w:val="000E53E6"/>
    <w:rsid w:val="000E5C3B"/>
    <w:rsid w:val="001371C1"/>
    <w:rsid w:val="00143203"/>
    <w:rsid w:val="0015300F"/>
    <w:rsid w:val="00176135"/>
    <w:rsid w:val="00184DF8"/>
    <w:rsid w:val="0020737B"/>
    <w:rsid w:val="0023271A"/>
    <w:rsid w:val="002E61D3"/>
    <w:rsid w:val="00336231"/>
    <w:rsid w:val="00343603"/>
    <w:rsid w:val="00367FF8"/>
    <w:rsid w:val="00382F47"/>
    <w:rsid w:val="003C2C00"/>
    <w:rsid w:val="003E4DCA"/>
    <w:rsid w:val="00401536"/>
    <w:rsid w:val="004D2C2E"/>
    <w:rsid w:val="004E3D40"/>
    <w:rsid w:val="004F7E36"/>
    <w:rsid w:val="005668AA"/>
    <w:rsid w:val="00605712"/>
    <w:rsid w:val="00607E9B"/>
    <w:rsid w:val="006918BA"/>
    <w:rsid w:val="00716B5A"/>
    <w:rsid w:val="00743BC8"/>
    <w:rsid w:val="00796A1F"/>
    <w:rsid w:val="00800421"/>
    <w:rsid w:val="008527D6"/>
    <w:rsid w:val="00950BA1"/>
    <w:rsid w:val="009915BC"/>
    <w:rsid w:val="00A023BC"/>
    <w:rsid w:val="00A228BF"/>
    <w:rsid w:val="00AC6030"/>
    <w:rsid w:val="00AF356A"/>
    <w:rsid w:val="00B020C6"/>
    <w:rsid w:val="00B35DA1"/>
    <w:rsid w:val="00B75ADB"/>
    <w:rsid w:val="00B873F0"/>
    <w:rsid w:val="00BA144D"/>
    <w:rsid w:val="00BF0D94"/>
    <w:rsid w:val="00C54972"/>
    <w:rsid w:val="00CC1AA3"/>
    <w:rsid w:val="00CE5912"/>
    <w:rsid w:val="00D543BF"/>
    <w:rsid w:val="00D544E9"/>
    <w:rsid w:val="00E13869"/>
    <w:rsid w:val="00E13F0D"/>
    <w:rsid w:val="00E7392C"/>
    <w:rsid w:val="00F03FAF"/>
    <w:rsid w:val="00FB52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pPr>
      <w:spacing w:after="200"/>
      <w:ind w:left="720"/>
      <w:jc w:val="both"/>
    </w:pPr>
    <w:rPr>
      <w:color w:val="000000"/>
      <w:lang w:eastAsia="en-US"/>
    </w:rPr>
  </w:style>
  <w:style w:type="character" w:customStyle="1" w:styleId="apple-converted-space">
    <w:name w:val="apple-converted-space"/>
    <w:rPr>
      <w:rFonts w:cs="Times New Roman"/>
    </w:rPr>
  </w:style>
  <w:style w:type="paragraph" w:styleId="Textkomente">
    <w:name w:val="annotation text"/>
    <w:basedOn w:val="Normln"/>
    <w:semiHidden/>
    <w:pPr>
      <w:spacing w:after="200"/>
      <w:jc w:val="both"/>
    </w:pPr>
    <w:rPr>
      <w:color w:val="000000"/>
      <w:lang w:eastAsia="en-US"/>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Normln1">
    <w:name w:val="Normální1"/>
    <w:basedOn w:val="Normln"/>
    <w:pPr>
      <w:widowControl w:val="0"/>
      <w:overflowPunct w:val="0"/>
      <w:autoSpaceDE w:val="0"/>
      <w:autoSpaceDN w:val="0"/>
      <w:adjustRightInd w:val="0"/>
    </w:pPr>
    <w:rPr>
      <w:sz w:val="20"/>
      <w:szCs w:val="20"/>
    </w:rPr>
  </w:style>
  <w:style w:type="paragraph" w:styleId="Bezmezer">
    <w:name w:val="No Spacing"/>
    <w:autoRedefine/>
    <w:qFormat/>
    <w:pPr>
      <w:jc w:val="both"/>
    </w:pPr>
    <w:rPr>
      <w:rFonts w:ascii="Calibri" w:hAnsi="Calibri"/>
      <w:sz w:val="22"/>
      <w:szCs w:val="24"/>
      <w:lang w:eastAsia="en-US"/>
    </w:rPr>
  </w:style>
  <w:style w:type="table" w:styleId="Mkatabulky">
    <w:name w:val="Table Grid"/>
    <w:basedOn w:val="Normlntabulka"/>
    <w:uiPriority w:val="39"/>
    <w:rsid w:val="00CE5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76135"/>
    <w:pPr>
      <w:autoSpaceDE w:val="0"/>
      <w:autoSpaceDN w:val="0"/>
      <w:adjustRightInd w:val="0"/>
    </w:pPr>
    <w:rPr>
      <w:rFonts w:ascii="Calibri" w:eastAsiaTheme="minorHAnsi" w:hAnsi="Calibri" w:cs="Calibri"/>
      <w:color w:val="000000"/>
      <w:sz w:val="24"/>
      <w:szCs w:val="24"/>
      <w:lang w:eastAsia="en-US"/>
    </w:rPr>
  </w:style>
  <w:style w:type="character" w:customStyle="1" w:styleId="ZpatChar">
    <w:name w:val="Zápatí Char"/>
    <w:basedOn w:val="Standardnpsmoodstavce"/>
    <w:link w:val="Zpat"/>
    <w:uiPriority w:val="99"/>
    <w:rsid w:val="00176135"/>
    <w:rPr>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12728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1 - SMĚRNICE GDPR</vt:lpstr>
      <vt:lpstr>1 - SMĚRNICE GDPR</vt:lpstr>
    </vt:vector>
  </TitlesOfParts>
  <Company>Gaudens s.r.o.</Company>
  <LinksUpToDate>false</LinksUpToDate>
  <CharactersWithSpaces>14856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SMĚRNICE GDPR</dc:title>
  <dc:creator>luboš kliment</dc:creator>
  <cp:lastModifiedBy>doma</cp:lastModifiedBy>
  <cp:revision>2</cp:revision>
  <dcterms:created xsi:type="dcterms:W3CDTF">2018-05-09T18:27:00Z</dcterms:created>
  <dcterms:modified xsi:type="dcterms:W3CDTF">2018-05-09T18:27:00Z</dcterms:modified>
</cp:coreProperties>
</file>